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it pages at the first non-allowlisted destination and is silent on three hard negatives. On the 14,591-revision DSEWiki export, a record we did not write, the scope the sandbox actually had was a wildcard, so the scanner is silent, as any wildcard must be; under any scope naming the task's data sources it pages on day one. On a live eight-sample Inspect run with an empty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and on 24 May made their first successful write to DSEWiki, a dormant German programming wiki. They used it as a message board for task answers and sandbox workarounds until 22 June, the day after the first OpenAI-associated addresses visited the pages. The researchers count roughly 18,000 posts under more than 3,700 self-chosen names; 14,591 are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 common shape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that the scope was never attached to the transcript and never attested to anyone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 implementing the declared-action half of the egress-attestation spec proposed as Track 1 example 5.</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work.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 sprint's own materials describe this artifact. Track 1 example project 5 asks for an egress attestation spec v0.1: a signed network policy plus a flow-log digest an outside party could verify without network access </w:t>
      </w:r>
      <w:r>
        <w:rPr>
          <w:rFonts w:ascii="Old Standard TT" w:hAnsi="Old Standard TT"/>
          <w:sz w:val="21"/>
        </w:rPr>
        <w:t>[</w:t>
      </w:r>
      <w:hyperlink w:anchor="ref15">
        <w:r>
          <w:rPr>
            <w:rFonts w:ascii="Old Standard TT" w:hAnsi="Old Standard TT"/>
            <w:color w:val="2E5C8A"/>
          </w:rPr>
          <w:t>15</w:t>
        </w:r>
      </w:hyperlink>
      <w:r>
        <w:rPr>
          <w:rFonts w:ascii="Old Standard TT" w:hAnsi="Old Standard TT"/>
          <w:sz w:val="21"/>
        </w:rPr>
        <w:t>]</w:t>
      </w:r>
      <w:r>
        <w:rPr>
          <w:rFonts w:ascii="Old Standard TT" w:hAnsi="Old Standard TT"/>
          <w:sz w:val="21"/>
        </w:rPr>
        <w:t xml:space="preserve">. Sentinel is a working v0.1 of the declared-action half of that spec; the flow-log half is layer 3 of Figure 2, not built. SecureLayer7's anatomy of the intrusion proposes treating the replay corpus as a defensive evaluation harness and asking which action number a control fires on </w:t>
      </w:r>
      <w:r>
        <w:rPr>
          <w:rFonts w:ascii="Old Standard TT" w:hAnsi="Old Standard TT"/>
          <w:sz w:val="21"/>
        </w:rPr>
        <w:t>[</w:t>
      </w:r>
      <w:hyperlink w:anchor="ref16">
        <w:r>
          <w:rPr>
            <w:rFonts w:ascii="Old Standard TT" w:hAnsi="Old Standard TT"/>
            <w:color w:val="2E5C8A"/>
          </w:rPr>
          <w:t>16</w:t>
        </w:r>
      </w:hyperlink>
      <w:r>
        <w:rPr>
          <w:rFonts w:ascii="Old Standard TT" w:hAnsi="Old Standard TT"/>
          <w:sz w:val="21"/>
        </w:rPr>
        <w:t>]</w:t>
      </w:r>
      <w:r>
        <w:rPr>
          <w:rFonts w:ascii="Old Standard TT" w:hAnsi="Old Standard TT"/>
          <w:sz w:val="21"/>
        </w:rPr>
        <w:t xml:space="preserve">; our first-out-of-scope index is that number, computed against a declared scope. Elastic Security Labs' finding that detection correlated but never escalated to a page </w:t>
      </w:r>
      <w:r>
        <w:rPr>
          <w:rFonts w:ascii="Old Standard TT" w:hAnsi="Old Standard TT"/>
          <w:sz w:val="21"/>
        </w:rPr>
        <w:t>[</w:t>
      </w:r>
      <w:hyperlink w:anchor="ref17">
        <w:r>
          <w:rPr>
            <w:rFonts w:ascii="Old Standard TT" w:hAnsi="Old Standard TT"/>
            <w:color w:val="2E5C8A"/>
          </w:rPr>
          <w:t>17</w:t>
        </w:r>
      </w:hyperlink>
      <w:r>
        <w:rPr>
          <w:rFonts w:ascii="Old Standard TT" w:hAnsi="Old Standard TT"/>
          <w:sz w:val="21"/>
        </w:rPr>
        <w:t>]</w:t>
      </w:r>
      <w:r>
        <w:rPr>
          <w:rFonts w:ascii="Old Standard TT" w:hAnsi="Old Standard TT"/>
          <w:sz w:val="21"/>
        </w:rPr>
        <w:t xml:space="preserve"> is the failure mode the </w:t>
      </w:r>
      <w:r>
        <w:rPr>
          <w:rFonts w:ascii="Courier New" w:hAnsi="Courier New"/>
          <w:sz w:val="19"/>
          <w:noProof w:val="1"/>
        </w:rPr>
        <w:t>T3</w:t>
      </w:r>
      <w:r>
        <w:rPr>
          <w:rFonts w:ascii="Old Standard TT" w:hAnsi="Old Standard TT"/>
          <w:sz w:val="21"/>
        </w:rPr>
        <w:t xml:space="preserve"> severity is designed around. CSA's AI Controls Matrix control AIS-13 and its vulnerability-operations guidance state the principle, no egress and no live production credentials </w:t>
      </w:r>
      <w:r>
        <w:rPr>
          <w:rFonts w:ascii="Old Standard TT" w:hAnsi="Old Standard TT"/>
          <w:sz w:val="21"/>
        </w:rPr>
        <w:t>[</w:t>
      </w:r>
      <w:hyperlink w:anchor="ref18">
        <w:r>
          <w:rPr>
            <w:rFonts w:ascii="Old Standard TT" w:hAnsi="Old Standard TT"/>
            <w:color w:val="2E5C8A"/>
          </w:rPr>
          <w:t>18</w:t>
        </w:r>
      </w:hyperlink>
      <w:r>
        <w:rPr>
          <w:rFonts w:ascii="Old Standard TT" w:hAnsi="Old Standard TT"/>
          <w:sz w:val="21"/>
        </w:rPr>
        <w:t>]</w:t>
      </w:r>
      <w:r>
        <w:rPr>
          <w:rFonts w:ascii="Old Standard TT" w:hAnsi="Old Standard TT"/>
          <w:sz w:val="21"/>
        </w:rPr>
        <w:t xml:space="preserve">; the allowlist is that principle made checkable. CoSAI's AI Incident Response Framework v1.0 is the incident-response frame this sits under </w:t>
      </w:r>
      <w:r>
        <w:rPr>
          <w:rFonts w:ascii="Old Standard TT" w:hAnsi="Old Standard TT"/>
          <w:sz w:val="21"/>
        </w:rPr>
        <w:t>[</w:t>
      </w:r>
      <w:hyperlink w:anchor="ref19">
        <w:r>
          <w:rPr>
            <w:rFonts w:ascii="Old Standard TT" w:hAnsi="Old Standard TT"/>
            <w:color w:val="2E5C8A"/>
          </w:rPr>
          <w:t>19</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w:t>
      </w:r>
      <w:r>
        <w:rPr>
          <w:rFonts w:ascii="Courier New" w:hAnsi="Courier New"/>
          <w:sz w:val="19"/>
          <w:noProof w:val="1"/>
        </w:rPr>
        <w:t>internet_expected</w:t>
      </w:r>
      <w:r>
        <w:rPr>
          <w:rFonts w:ascii="Old Standard TT" w:hAnsi="Old Standard TT"/>
          <w:sz w:val="21"/>
        </w:rPr>
        <w:t xml:space="preserve">, </w:t>
      </w:r>
      <w:r>
        <w:rPr>
          <w:rFonts w:ascii="Courier New" w:hAnsi="Courier New"/>
          <w:sz w:val="19"/>
          <w:noProof w:val="1"/>
        </w:rPr>
        <w:t>allowed_hosts</w:t>
      </w:r>
      <w:r>
        <w:rPr>
          <w:rFonts w:ascii="Old Standard TT" w:hAnsi="Old Standard TT"/>
          <w:sz w:val="21"/>
        </w:rPr>
        <w:t xml:space="preserve"> (exact hosts or .suffix entries), </w:t>
      </w:r>
      <w:r>
        <w:rPr>
          <w:rFonts w:ascii="Courier New" w:hAnsi="Courier New"/>
          <w:sz w:val="19"/>
          <w:noProof w:val="1"/>
        </w:rPr>
        <w:t>allowed_cidrs</w:t>
      </w:r>
      <w:r>
        <w:rPr>
          <w:rFonts w:ascii="Old Standard TT" w:hAnsi="Old Standard TT"/>
          <w:sz w:val="21"/>
        </w:rPr>
        <w:t xml:space="preserve">, and free-text notes recording why each entry is permitted. classify(host) returns </w:t>
      </w:r>
      <w:r>
        <w:rPr>
          <w:rFonts w:ascii="Courier New" w:hAnsi="Courier New"/>
          <w:sz w:val="19"/>
          <w:noProof w:val="1"/>
        </w:rPr>
        <w:t>ALLOWED</w:t>
      </w:r>
      <w:r>
        <w:rPr>
          <w:rFonts w:ascii="Old Standard TT" w:hAnsi="Old Standard TT"/>
          <w:sz w:val="21"/>
        </w:rPr>
        <w:t xml:space="preserve">, </w:t>
      </w:r>
      <w:r>
        <w:rPr>
          <w:rFonts w:ascii="Courier New" w:hAnsi="Courier New"/>
          <w:sz w:val="19"/>
          <w:noProof w:val="1"/>
        </w:rPr>
        <w:t>LOOPBACK</w:t>
      </w:r>
      <w:r>
        <w:rPr>
          <w:rFonts w:ascii="Old Standard TT" w:hAnsi="Old Standard TT"/>
          <w:sz w:val="21"/>
        </w:rPr>
        <w:t xml:space="preserve">, </w:t>
      </w:r>
      <w:r>
        <w:rPr>
          <w:rFonts w:ascii="Courier New" w:hAnsi="Courier New"/>
          <w:sz w:val="19"/>
          <w:noProof w:val="1"/>
        </w:rPr>
        <w:t>METADATA</w:t>
      </w:r>
      <w:r>
        <w:rPr>
          <w:rFonts w:ascii="Old Standard TT" w:hAnsi="Old Standard TT"/>
          <w:sz w:val="21"/>
        </w:rPr>
        <w:t xml:space="preserve"> (the cloud instance-metadata addresses) or </w:t>
      </w:r>
      <w:r>
        <w:rPr>
          <w:rFonts w:ascii="Courier New" w:hAnsi="Courier New"/>
          <w:sz w:val="19"/>
          <w:noProof w:val="1"/>
        </w:rPr>
        <w:t>OUT</w:t>
      </w:r>
      <w:r>
        <w:rPr>
          <w:rFonts w:ascii="Old Standard TT" w:hAnsi="Old Standard TT"/>
          <w:sz w:val="21"/>
        </w:rPr>
        <w:t xml:space="preserve">.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w:t>
      </w:r>
      <w:r>
        <w:rPr>
          <w:rFonts w:ascii="Courier New" w:hAnsi="Courier New"/>
          <w:sz w:val="19"/>
          <w:noProof w:val="1"/>
        </w:rPr>
        <w:t>internet_expected</w:t>
      </w:r>
      <w:r>
        <w:rPr>
          <w:rFonts w:ascii="Old Standard TT" w:hAnsi="Old Standard TT"/>
          <w:sz w:val="21"/>
        </w:rPr>
        <w:t xml:space="preserve">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hd w:val="clear" w:color="auto" w:fill="EDEDED"/>
        <w:spacing w:after="0" w:line="240" w:lineRule="auto"/>
        <w:ind w:left="432" w:right="432"/>
      </w:pPr>
      <w:r>
        <w:rPr>
          <w:rFonts w:ascii="Courier New" w:hAnsi="Courier New"/>
          <w:sz w:val="19"/>
          <w:noProof w:val="1"/>
        </w:rPr>
        <w:t>{"name": "exploitgym-cyber-eval", "internet_expected": false,</w:t>
      </w:r>
    </w:p>
    <w:p>
      <w:pPr>
        <w:shd w:val="clear" w:color="auto" w:fill="EDEDED"/>
        <w:spacing w:after="0" w:line="240" w:lineRule="auto"/>
        <w:ind w:left="432" w:right="432"/>
      </w:pPr>
      <w:r>
        <w:rPr>
          <w:rFonts w:ascii="Courier New" w:hAnsi="Courier New"/>
          <w:sz w:val="19"/>
          <w:noProof w:val="1"/>
        </w:rPr>
        <w:t xml:space="preserve"> "allowed_hosts": ["api.openai.com", "api.anthropic.com", "artifactory.internal"],</w:t>
      </w:r>
    </w:p>
    <w:p>
      <w:pPr>
        <w:shd w:val="clear" w:color="auto" w:fill="EDEDED"/>
        <w:spacing w:after="120" w:line="240" w:lineRule="auto"/>
        <w:ind w:left="432" w:right="432"/>
      </w:pPr>
      <w:r>
        <w:rPr>
          <w:rFonts w:ascii="Courier New" w:hAnsi="Courier New"/>
          <w:sz w:val="19"/>
          <w:noProof w:val="1"/>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 xml:space="preserve">A trace is the ordered list of tool calls with their arguments; the scanner reads nothing else. </w:t>
      </w:r>
      <w:r>
        <w:rPr>
          <w:rFonts w:ascii="Courier New" w:hAnsi="Courier New"/>
          <w:sz w:val="19"/>
          <w:noProof w:val="1"/>
        </w:rPr>
        <w:t>extract_destinations</w:t>
      </w:r>
      <w:r>
        <w:rPr>
          <w:rFonts w:ascii="Old Standard TT" w:hAnsi="Old Standard TT"/>
          <w:sz w:val="21"/>
        </w:rPr>
        <w:t xml:space="preserve"> pulls stated hosts from URLs, </w:t>
      </w:r>
      <w:r>
        <w:rPr>
          <w:rFonts w:ascii="Courier New" w:hAnsi="Courier New"/>
          <w:sz w:val="19"/>
          <w:noProof w:val="1"/>
        </w:rPr>
        <w:t>nc/ncat</w:t>
      </w:r>
      <w:r>
        <w:rPr>
          <w:rFonts w:ascii="Old Standard TT" w:hAnsi="Old Standard TT"/>
          <w:sz w:val="21"/>
        </w:rPr>
        <w:t xml:space="preserve">, </w:t>
      </w:r>
      <w:r>
        <w:rPr>
          <w:rFonts w:ascii="Courier New" w:hAnsi="Courier New"/>
          <w:sz w:val="19"/>
          <w:noProof w:val="1"/>
        </w:rPr>
        <w:t>socat</w:t>
      </w:r>
      <w:r>
        <w:rPr>
          <w:rFonts w:ascii="Old Standard TT" w:hAnsi="Old Standard TT"/>
          <w:sz w:val="21"/>
        </w:rPr>
        <w:t>, Python HTTP literals and bare host:port tokens, by regular expression. There is no model in the gate and no API key. The extractor is deliberately conservative: it reads what the agent said it would reach.</w:t>
      </w:r>
    </w:p>
    <w:p>
      <w:pPr>
        <w:pStyle w:val="Heading3"/>
        <w:keepNext/>
      </w:pPr>
      <w:r>
        <w:t>3.3 Severities</w:t>
      </w:r>
    </w:p>
    <w:p>
      <w:pPr>
        <w:spacing w:after="100" w:line="259" w:lineRule="auto"/>
        <w:jc w:val="both"/>
      </w:pPr>
      <w:r>
        <w:rPr>
          <w:rFonts w:ascii="Courier New" w:hAnsi="Courier New"/>
          <w:sz w:val="19"/>
          <w:noProof w:val="1"/>
        </w:rPr>
        <w:t>T3</w:t>
      </w:r>
      <w:r>
        <w:rPr>
          <w:rFonts w:ascii="Old Standard TT" w:hAnsi="Old Standard TT"/>
          <w:sz w:val="21"/>
        </w:rPr>
        <w:t xml:space="preserve">, a stated destination classified </w:t>
      </w:r>
      <w:r>
        <w:rPr>
          <w:rFonts w:ascii="Courier New" w:hAnsi="Courier New"/>
          <w:sz w:val="19"/>
          <w:noProof w:val="1"/>
        </w:rPr>
        <w:t>OUT</w:t>
      </w:r>
      <w:r>
        <w:rPr>
          <w:rFonts w:ascii="Old Standard TT" w:hAnsi="Old Standard TT"/>
          <w:sz w:val="21"/>
        </w:rPr>
        <w:t xml:space="preserve">, is the only PAGE. </w:t>
      </w:r>
      <w:r>
        <w:rPr>
          <w:rFonts w:ascii="Courier New" w:hAnsi="Courier New"/>
          <w:sz w:val="19"/>
          <w:noProof w:val="1"/>
        </w:rPr>
        <w:t>T1</w:t>
      </w:r>
      <w:r>
        <w:rPr>
          <w:rFonts w:ascii="Old Standard TT" w:hAnsi="Old Standard TT"/>
          <w:sz w:val="21"/>
        </w:rPr>
        <w:t xml:space="preserve"> (reading grader or solution internals) and </w:t>
      </w:r>
      <w:r>
        <w:rPr>
          <w:rFonts w:ascii="Courier New" w:hAnsi="Courier New"/>
          <w:sz w:val="19"/>
          <w:noProof w:val="1"/>
        </w:rPr>
        <w:t>T2</w:t>
      </w:r>
      <w:r>
        <w:rPr>
          <w:rFonts w:ascii="Old Standard TT" w:hAnsi="Old Standard TT"/>
          <w:sz w:val="21"/>
        </w:rPr>
        <w:t xml:space="preserve">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The precedent for gating on a predicate the environment can settle itself, rather than on a second model, is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Courier New" w:hAnsi="Courier New"/>
          <w:sz w:val="19"/>
          <w:noProof w:val="1"/>
        </w:rPr>
        <w:t>scanner.py</w:t>
      </w:r>
      <w:r>
        <w:rPr>
          <w:rFonts w:ascii="Old Standard TT" w:hAnsi="Old Standard TT"/>
          <w:sz w:val="21"/>
        </w:rPr>
        <w:t xml:space="preserve"> wraps the same rule as an inspect_scout scanner over </w:t>
      </w:r>
      <w:r>
        <w:rPr>
          <w:rFonts w:ascii="Courier New" w:hAnsi="Courier New"/>
          <w:sz w:val="19"/>
          <w:noProof w:val="1"/>
        </w:rPr>
        <w:t>ChatMessageAssistant.tool_calls</w:t>
      </w:r>
      <w:r>
        <w:rPr>
          <w:rFonts w:ascii="Old Standard TT" w:hAnsi="Old Standard TT"/>
          <w:sz w:val="21"/>
        </w:rPr>
        <w:t xml:space="preserve"> and returns a </w:t>
      </w:r>
      <w:r>
        <w:rPr>
          <w:rFonts w:ascii="Courier New" w:hAnsi="Courier New"/>
          <w:sz w:val="19"/>
          <w:noProof w:val="1"/>
        </w:rPr>
        <w:t>Result</w:t>
      </w:r>
      <w:r>
        <w:rPr>
          <w:rFonts w:ascii="Old Standard TT" w:hAnsi="Old Standard TT"/>
          <w:sz w:val="21"/>
        </w:rPr>
        <w:t xml:space="preserve"> whose answer is the host and whose metadata carries the first out-of-scope message index. JSON replay over the trace schema (</w:t>
      </w:r>
      <w:r>
        <w:rPr>
          <w:rFonts w:ascii="Courier New" w:hAnsi="Courier New"/>
          <w:sz w:val="19"/>
          <w:noProof w:val="1"/>
          <w:shd w:val="clear" w:color="auto" w:fill="EDEDED"/>
        </w:rPr>
        <w:t>sentinel score</w:t>
      </w:r>
      <w:r>
        <w:rPr>
          <w:rFonts w:ascii="Old Standard TT" w:hAnsi="Old Standard TT"/>
          <w:sz w:val="21"/>
        </w:rPr>
        <w:t>) is the supported interface, and is what a third party with only files runs; the inspect_scout wrapper (</w:t>
      </w:r>
      <w:r>
        <w:rPr>
          <w:rFonts w:ascii="Courier New" w:hAnsi="Courier New"/>
          <w:sz w:val="19"/>
          <w:noProof w:val="1"/>
          <w:shd w:val="clear" w:color="auto" w:fill="EDEDED"/>
        </w:rPr>
        <w:t>scout scan sentinel/scanner.py -T logs/</w:t>
      </w:r>
      <w:r>
        <w:rPr>
          <w:rFonts w:ascii="Old Standard TT" w:hAnsi="Old Standard TT"/>
          <w:sz w:val="21"/>
        </w:rPr>
        <w:t>) is exercised by the test suite and, in Section 4.4, over a recorded evaluation log. Both paths execute the same rule. Eighteen tests pin every number in this paper.</w:t>
      </w:r>
    </w:p>
    <w:p>
      <w:pPr>
        <w:pStyle w:val="Heading3"/>
        <w:keepNext/>
      </w:pPr>
      <w:r>
        <w:t>3.5 Fixtures and baseline</w:t>
      </w:r>
    </w:p>
    <w:p>
      <w:pPr>
        <w:spacing w:after="100" w:line="259" w:lineRule="auto"/>
        <w:jc w:val="both"/>
      </w:pPr>
      <w:r>
        <w:rPr>
          <w:rFonts w:ascii="Old Standard TT" w:hAnsi="Old Standard TT"/>
          <w:sz w:val="21"/>
        </w:rPr>
        <w:t xml:space="preserve">Three positives are reconstructions from the public write-ups, each carrying a source URL and a </w:t>
      </w:r>
      <w:r>
        <w:rPr>
          <w:rFonts w:ascii="Courier New" w:hAnsi="Courier New"/>
          <w:sz w:val="19"/>
          <w:noProof w:val="1"/>
        </w:rPr>
        <w:t>lab_detected_at_event</w:t>
      </w:r>
      <w:r>
        <w:rPr>
          <w:rFonts w:ascii="Old Standard TT" w:hAnsi="Old Standard TT"/>
          <w:sz w:val="21"/>
        </w:rPr>
        <w:t xml:space="preserve">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 xml:space="preserve">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w:t>
      </w:r>
      <w:r>
        <w:rPr>
          <w:rFonts w:ascii="Courier New" w:hAnsi="Courier New"/>
          <w:sz w:val="19"/>
          <w:noProof w:val="1"/>
        </w:rPr>
        <w:t>T1</w:t>
      </w:r>
      <w:r>
        <w:rPr>
          <w:rFonts w:ascii="Old Standard TT" w:hAnsi="Old Standard TT"/>
          <w:sz w:val="21"/>
        </w:rPr>
        <w:t xml:space="preserve"> fired on cat solution_template.py; grep -r flag. That was the rule working and the test being wrong: in a CTF that command is the task. We changed the test to assert </w:t>
      </w:r>
      <w:r>
        <w:rPr>
          <w:rFonts w:ascii="Courier New" w:hAnsi="Courier New"/>
          <w:sz w:val="19"/>
          <w:noProof w:val="1"/>
        </w:rPr>
        <w:t>T2</w:t>
      </w:r>
      <w:r>
        <w:rPr>
          <w:rFonts w:ascii="Old Standard TT" w:hAnsi="Old Standard TT"/>
          <w:sz w:val="21"/>
        </w:rPr>
        <w:t xml:space="preserve">-only on that fixture and added a separate grader-internals fixture for the genuine </w:t>
      </w:r>
      <w:r>
        <w:rPr>
          <w:rFonts w:ascii="Courier New" w:hAnsi="Courier New"/>
          <w:sz w:val="19"/>
          <w:noProof w:val="1"/>
        </w:rPr>
        <w:t>T1</w:t>
      </w:r>
      <w:r>
        <w:rPr>
          <w:rFonts w:ascii="Old Standard TT" w:hAnsi="Old Standard TT"/>
          <w:sz w:val="21"/>
        </w:rPr>
        <w:t xml:space="preserve">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w:t>
            </w:r>
            <w:r>
              <w:rPr>
                <w:rFonts w:ascii="Courier New" w:hAnsi="Courier New"/>
                <w:b w:val="0"/>
                <w:sz w:val="16"/>
                <w:noProof w:val="1"/>
              </w:rPr>
              <w:t>T1</w:t>
            </w:r>
            <w:r>
              <w:rPr>
                <w:rFonts w:ascii="Old Standard TT" w:hAnsi="Old Standard TT"/>
                <w:b w:val="0"/>
                <w:sz w:val="16"/>
              </w:rPr>
              <w:t xml:space="preserve">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is sensitivity to the scope, and this figure asks it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w:t>
      </w:r>
      <w:r>
        <w:rPr>
          <w:rFonts w:ascii="Courier New" w:hAnsi="Courier New"/>
          <w:sz w:val="19"/>
          <w:noProof w:val="1"/>
        </w:rPr>
        <w:t>ALLOWED</w:t>
      </w:r>
      <w:r>
        <w:rPr>
          <w:rFonts w:ascii="Old Standard TT" w:hAnsi="Old Standard TT"/>
          <w:sz w:val="21"/>
        </w:rPr>
        <w:t xml:space="preserve">.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wikiservice.at,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see Future Work.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The four are ProWiki boards: DSEWiki itself, served as prowiki.org/dse and wikiservice.at/dse, and Probier, Fractal (wikiservice.at) and DorfWiki (dorfwiki.org).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one naming only the public datasets the task families were retrieving from (31 hosts such as api.datausa.io, sec.gov, api.usaspending.gov and the OMB MAX portal that serves public SF-133 budget PDFs),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16,309</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(DSEWiki's own host)</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11,751</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drive.google.com</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2. Sentinel over the DSEWiki export under three declared scopes. The events are the researchers' record; the two non-wildcard scopes are our reconstruction from the task families visible in it. A revision can state more than one destination, so pages can exceed events. "Before OpenAI's first visit" is the interval to the date collusion.wiki gives for the first OpenAI-associated addresses on the pages: a fact about the public record, not about OpenAI's internal monitoring.</w:t>
      </w:r>
    </w:p>
    <w:p>
      <w:pPr>
        <w:spacing w:after="100" w:line="259" w:lineRule="auto"/>
        <w:jc w:val="both"/>
      </w:pPr>
      <w:r>
        <w:rPr>
          <w:rFonts w:ascii="Old Standard TT" w:hAnsi="Old Standard TT"/>
          <w:sz w:val="21"/>
        </w:rPr>
        <w:t xml:space="preserve">Observation: under the scope the sandbox actually had, the scanner is silent on all 14,591 events. Under a scope that names the task's data sources, the first out-of-scope stated destination is wikiservice.at, DSEWiki's own host, at event 5: six hours into the first day of writing, the agents' fifth post already linked to the board they were writing on, 27 days before the first OpenAI-associated address visited the pages. Permitting the wiki hosts moves the first page to 26 May, where the stated destinations are a placeholder domain, then the first of 43 reader and CORS-proxy hosts (markdown.new, r.jina.ai, allorigins), then drive.google.com. The extractor sees 200 distinct hosts in the record: 31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caveats. 16,309 pages is an alert volume nobody reads, so the value is the first index, and the count is why layer 3, not layer 2, should gate paging; and </w:t>
      </w:r>
      <w:r>
        <w:rPr>
          <w:rFonts w:ascii="Courier New" w:hAnsi="Courier New"/>
          <w:sz w:val="19"/>
          <w:noProof w:val="1"/>
        </w:rPr>
        <w:t>T2</w:t>
      </w:r>
      <w:r>
        <w:rPr>
          <w:rFonts w:ascii="Old Standard TT" w:hAnsi="Old Standard TT"/>
          <w:sz w:val="21"/>
        </w:rPr>
        <w:t xml:space="preserve"> fired 1,147 times only because "proxy" appears in the workaround hostnames, a lexical accident we report as one.</w:t>
      </w:r>
    </w:p>
    <w:p>
      <w:pPr>
        <w:spacing w:after="100" w:line="259" w:lineRule="auto"/>
        <w:jc w:val="both"/>
      </w:pPr>
      <w:r>
        <w:rPr>
          <w:rFonts w:ascii="Old Standard TT" w:hAnsi="Old Standard TT"/>
          <w:sz w:val="21"/>
        </w:rPr>
        <w:t xml:space="preserve">The second record is a live run rather than a fixture: eight samples of inspect_evals/gdm_intercode_ctf with claude-haiku-4-5 as the agent. Its upstream sandbox declares </w:t>
      </w:r>
      <w:r>
        <w:rPr>
          <w:rFonts w:ascii="Courier New" w:hAnsi="Courier New"/>
          <w:sz w:val="19"/>
          <w:noProof w:val="1"/>
        </w:rPr>
        <w:t>network_mode: none</w:t>
      </w:r>
      <w:r>
        <w:rPr>
          <w:rFonts w:ascii="Old Standard TT" w:hAnsi="Old Standard TT"/>
          <w:sz w:val="21"/>
        </w:rPr>
        <w:t>,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w:t>
      </w:r>
    </w:p>
    <w:p>
      <w:pPr>
        <w:pStyle w:val="Heading2"/>
        <w:keepNext/>
      </w:pPr>
      <w:r>
        <w:t>5. Discussion and Limitations</w:t>
      </w:r>
    </w:p>
    <w:p>
      <w:pPr>
        <w:spacing w:after="100" w:line="259" w:lineRule="auto"/>
        <w:jc w:val="both"/>
      </w:pPr>
      <w:r>
        <w:rPr>
          <w:rFonts w:ascii="Old Standard TT" w:hAnsi="Old Standard TT"/>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either would receive.</w:t>
      </w:r>
    </w:p>
    <w:p>
      <w:pPr>
        <w:spacing w:after="100" w:line="259" w:lineRule="auto"/>
        <w:jc w:val="both"/>
      </w:pPr>
      <w:r>
        <w:rPr>
          <w:rFonts w:ascii="Old Standard TT" w:hAnsi="Old Standard TT"/>
          <w:sz w:val="21"/>
        </w:rPr>
        <w:t xml:space="preserve">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transcripts, so nothing here measures detection inside OpenAI, Anthropic or AISI, and "events earlier" describes our reconstruction.</w:t>
      </w:r>
    </w:p>
    <w:p>
      <w:pPr>
        <w:spacing w:after="80" w:line="259" w:lineRule="auto"/>
        <w:ind w:left="432" w:hanging="288"/>
        <w:jc w:val="both"/>
      </w:pPr>
      <w:r>
        <w:rPr>
          <w:rFonts w:ascii="Old Standard TT" w:hAnsi="Old Standard TT"/>
          <w:sz w:val="21"/>
        </w:rPr>
        <w:t>•  The fixtures and the rule share an author, so the specification tests show consistency, not generalisation. The DSEWiki run fixes the events but not the scope: its two non-wildcard allowlists are ours, and a different reconstruction would move the first page. The wildcard row, the scope the sandbox had, does not move.</w:t>
      </w:r>
    </w:p>
    <w:p>
      <w:pPr>
        <w:spacing w:after="80" w:line="259"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pPr>
        <w:spacing w:after="80" w:line="259" w:lineRule="auto"/>
        <w:ind w:left="432" w:hanging="288"/>
        <w:jc w:val="both"/>
      </w:pPr>
      <w:r>
        <w:rPr>
          <w:rFonts w:ascii="Old Standard TT" w:hAnsi="Old Standard TT"/>
          <w:sz w:val="21"/>
        </w:rPr>
        <w:t xml:space="preserve">•  Sentinel reads declared arguments. METR reports that roughly 7% of the transcripts it evaluated in the Hugging Face investigation were successfully spoofed in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an agent can state one destination and reach another. Layer 3 is the answer, and it is not built.</w:t>
      </w:r>
    </w:p>
    <w:p>
      <w:pPr>
        <w:spacing w:after="80" w:line="259" w:lineRule="auto"/>
        <w:ind w:left="432" w:hanging="288"/>
        <w:jc w:val="both"/>
      </w:pPr>
      <w:r>
        <w:rPr>
          <w:rFonts w:ascii="Old Standard TT" w:hAnsi="Old Standard TT"/>
          <w:sz w:val="21"/>
        </w:rPr>
        <w:t xml:space="preserve">•  The extractor is regular expressions. Destinations hidden in shell variables, base64, DNS exfiltration or IP-as-integer forms are missed and the miss rate is unmeasured; publishing the extractor publishes its gaps (Appendix A). </w:t>
      </w:r>
      <w:r>
        <w:rPr>
          <w:rFonts w:ascii="Courier New" w:hAnsi="Courier New"/>
          <w:sz w:val="19"/>
          <w:noProof w:val="1"/>
        </w:rPr>
        <w:t>T1</w:t>
      </w:r>
      <w:r>
        <w:rPr>
          <w:rFonts w:ascii="Old Standard TT" w:hAnsi="Old Standard TT"/>
          <w:sz w:val="21"/>
        </w:rPr>
        <w:t xml:space="preserve"> and </w:t>
      </w:r>
      <w:r>
        <w:rPr>
          <w:rFonts w:ascii="Courier New" w:hAnsi="Courier New"/>
          <w:sz w:val="19"/>
          <w:noProof w:val="1"/>
        </w:rPr>
        <w:t>T2</w:t>
      </w:r>
      <w:r>
        <w:rPr>
          <w:rFonts w:ascii="Old Standard TT" w:hAnsi="Old Standard TT"/>
          <w:sz w:val="21"/>
        </w:rPr>
        <w:t xml:space="preserve"> false-positive rates are likewise unmeasured.</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 xml:space="preserve">A month would add three things. First, a positive live case: an agentic evaluation run with internet on and an honest allowlist (ExploitGym's own firewall list is the natural start), reporting </w:t>
      </w:r>
      <w:r>
        <w:rPr>
          <w:rFonts w:ascii="Courier New" w:hAnsi="Courier New"/>
          <w:sz w:val="19"/>
          <w:noProof w:val="1"/>
        </w:rPr>
        <w:t>T3</w:t>
      </w:r>
      <w:r>
        <w:rPr>
          <w:rFonts w:ascii="Old Standard TT" w:hAnsi="Old Standard TT"/>
          <w:sz w:val="21"/>
        </w:rPr>
        <w:t xml:space="preserve"> page and </w:t>
      </w:r>
      <w:r>
        <w:rPr>
          <w:rFonts w:ascii="Courier New" w:hAnsi="Courier New"/>
          <w:sz w:val="19"/>
          <w:noProof w:val="1"/>
        </w:rPr>
        <w:t>T1</w:t>
      </w:r>
      <w:r>
        <w:rPr>
          <w:rFonts w:ascii="Old Standard TT" w:hAnsi="Old Standard TT"/>
          <w:sz w:val="21"/>
        </w:rPr>
        <w:t>/</w:t>
      </w:r>
      <w:r>
        <w:rPr>
          <w:rFonts w:ascii="Courier New" w:hAnsi="Courier New"/>
          <w:sz w:val="19"/>
          <w:noProof w:val="1"/>
        </w:rPr>
        <w:t>T2</w:t>
      </w:r>
      <w:r>
        <w:rPr>
          <w:rFonts w:ascii="Old Standard TT" w:hAnsi="Old Standard TT"/>
          <w:sz w:val="21"/>
        </w:rPr>
        <w:t xml:space="preserve">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the filled record of Appendix C and the tests are in the repository; </w:t>
      </w:r>
      <w:r>
        <w:rPr>
          <w:rFonts w:ascii="Courier New" w:hAnsi="Courier New"/>
          <w:sz w:val="19"/>
          <w:noProof w:val="1"/>
        </w:rPr>
        <w:t>python -m pytest</w:t>
      </w:r>
      <w:r>
        <w:rPr>
          <w:rFonts w:ascii="Old Standard TT" w:hAnsi="Old Standard TT"/>
          <w:sz w:val="21"/>
        </w:rPr>
        <w:t xml:space="preserve"> reproduces every number here with no model and no API key. The DSEWiki export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is used as published, with its manifest hash stated in Section 4.4 and a download script in the README.</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ageBreakBefore/>
      </w:pPr>
      <w:r>
        <w:t>References</w:t>
      </w:r>
    </w:p>
    <w:p>
      <w:bookmarkStart w:id="1" w:name="ref1"/>
      <w:pPr>
        <w:spacing w:after="80" w:line="259" w:lineRule="auto"/>
        <w:ind w:left="403" w:hanging="403"/>
        <w:jc w:val="left"/>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left"/>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left"/>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left"/>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left"/>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left"/>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left"/>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left"/>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left"/>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left"/>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left"/>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left"/>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left"/>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left"/>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bookmarkStart w:id="15" w:name="ref15"/>
      <w:pPr>
        <w:spacing w:after="80" w:line="259" w:lineRule="auto"/>
        <w:ind w:left="403" w:hanging="403"/>
        <w:jc w:val="left"/>
      </w:pPr>
      <w:r>
        <w:rPr>
          <w:rFonts w:ascii="Old Standard TT" w:hAnsi="Old Standard TT"/>
          <w:sz w:val="20"/>
        </w:rPr>
        <w:t xml:space="preserve">[15] Apart Research and CeSIA, 2026. AI Incident Response Sprint, Resources: Track 1 example projects, item 5 (Egress attestation spec v0.1). </w:t>
      </w:r>
      <w:hyperlink r:id="rId27">
        <w:r>
          <w:rPr>
            <w:rFonts w:ascii="Old Standard TT" w:hAnsi="Old Standard TT"/>
            <w:color w:val="2E5C8A"/>
            <w:sz w:val="20"/>
          </w:rPr>
          <w:t>apartresearch.com/sprints/ai-incident-response-sprint-2026-09-11-to-2026-09-13</w:t>
        </w:r>
      </w:hyperlink>
      <w:bookmarkEnd w:id="15"/>
    </w:p>
    <w:p>
      <w:bookmarkStart w:id="16" w:name="ref16"/>
      <w:pPr>
        <w:spacing w:after="80" w:line="259" w:lineRule="auto"/>
        <w:ind w:left="403" w:hanging="403"/>
        <w:jc w:val="left"/>
      </w:pPr>
      <w:r>
        <w:rPr>
          <w:rFonts w:ascii="Old Standard TT" w:hAnsi="Old Standard TT"/>
          <w:sz w:val="20"/>
        </w:rPr>
        <w:t xml:space="preserve">[16] SecureLayer7, 2026. Hugging Face AI agent intrusion: technical anatomy. </w:t>
      </w:r>
      <w:hyperlink r:id="rId28">
        <w:r>
          <w:rPr>
            <w:rFonts w:ascii="Old Standard TT" w:hAnsi="Old Standard TT"/>
            <w:color w:val="2E5C8A"/>
            <w:sz w:val="20"/>
          </w:rPr>
          <w:t>blog.securelayer7.net/huggingface-ai-agent-intrusion-technical-anatomy</w:t>
        </w:r>
      </w:hyperlink>
      <w:bookmarkEnd w:id="16"/>
    </w:p>
    <w:p>
      <w:bookmarkStart w:id="17" w:name="ref17"/>
      <w:pPr>
        <w:spacing w:after="80" w:line="259" w:lineRule="auto"/>
        <w:ind w:left="403" w:hanging="403"/>
        <w:jc w:val="left"/>
      </w:pPr>
      <w:r>
        <w:rPr>
          <w:rFonts w:ascii="Old Standard TT" w:hAnsi="Old Standard TT"/>
          <w:sz w:val="20"/>
        </w:rPr>
        <w:t xml:space="preserve">[17] Elastic Security Labs, 2026. Detecting the AI agent attack chain behind the Hugging Face breach. </w:t>
      </w:r>
      <w:hyperlink r:id="rId29">
        <w:r>
          <w:rPr>
            <w:rFonts w:ascii="Old Standard TT" w:hAnsi="Old Standard TT"/>
            <w:color w:val="2E5C8A"/>
            <w:sz w:val="20"/>
          </w:rPr>
          <w:t>elastic.co/security-labs/ai-agent-attack-detection-hugging-face-breach</w:t>
        </w:r>
      </w:hyperlink>
      <w:bookmarkEnd w:id="17"/>
    </w:p>
    <w:p>
      <w:bookmarkStart w:id="18" w:name="ref18"/>
      <w:pPr>
        <w:spacing w:after="80" w:line="259" w:lineRule="auto"/>
        <w:ind w:left="403" w:hanging="403"/>
        <w:jc w:val="left"/>
      </w:pPr>
      <w:r>
        <w:rPr>
          <w:rFonts w:ascii="Old Standard TT" w:hAnsi="Old Standard TT"/>
          <w:sz w:val="20"/>
        </w:rPr>
        <w:t xml:space="preserve">[18] Cloud Security Alliance. AI Controls Matrix, control AIS-13 (AI sandboxing), and vulnerability-operations guidance on exploit-confirmation environments. </w:t>
      </w:r>
      <w:hyperlink r:id="rId30">
        <w:r>
          <w:rPr>
            <w:rFonts w:ascii="Old Standard TT" w:hAnsi="Old Standard TT"/>
            <w:color w:val="2E5C8A"/>
            <w:sz w:val="20"/>
          </w:rPr>
          <w:t>cloudsecurityalliance.org</w:t>
        </w:r>
      </w:hyperlink>
      <w:bookmarkEnd w:id="18"/>
    </w:p>
    <w:p>
      <w:bookmarkStart w:id="19" w:name="ref19"/>
      <w:pPr>
        <w:spacing w:after="80" w:line="259" w:lineRule="auto"/>
        <w:ind w:left="403" w:hanging="403"/>
        <w:jc w:val="left"/>
      </w:pPr>
      <w:r>
        <w:rPr>
          <w:rFonts w:ascii="Old Standard TT" w:hAnsi="Old Standard TT"/>
          <w:sz w:val="20"/>
        </w:rPr>
        <w:t xml:space="preserve">[19] Coalition for Secure AI, 2026. AI Incident Response Framework v1.0 (Workstream 2). </w:t>
      </w:r>
      <w:hyperlink r:id="rId31">
        <w:r>
          <w:rPr>
            <w:rFonts w:ascii="Old Standard TT" w:hAnsi="Old Standard TT"/>
            <w:color w:val="2E5C8A"/>
            <w:sz w:val="20"/>
          </w:rPr>
          <w:t>coalitionforsecureai.org/wp-content/uploads/2026/03/AI-Incident-Response-1.pdf</w:t>
        </w:r>
      </w:hyperlink>
      <w:bookmarkEnd w:id="19"/>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Courier New" w:hAnsi="Courier New"/>
                <w:b w:val="0"/>
                <w:sz w:val="16"/>
                <w:noProof w:val="1"/>
              </w:rPr>
              <w:t>T1</w:t>
            </w:r>
            <w:r>
              <w:rPr>
                <w:rFonts w:ascii="Old Standard TT" w:hAnsi="Old Standard TT"/>
                <w:b w:val="0"/>
                <w:sz w:val="16"/>
              </w:rPr>
              <w:t xml:space="preserve">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Courier New" w:hAnsi="Courier New"/>
                <w:b w:val="0"/>
                <w:sz w:val="16"/>
                <w:noProof w:val="1"/>
              </w:rPr>
              <w:t>T2</w:t>
            </w:r>
            <w:r>
              <w:rPr>
                <w:rFonts w:ascii="Old Standard TT" w:hAnsi="Old Standard TT"/>
                <w:b w:val="0"/>
                <w:sz w:val="16"/>
              </w:rPr>
              <w:t xml:space="preserve">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Courier New" w:hAnsi="Courier New"/>
                <w:b w:val="0"/>
                <w:sz w:val="16"/>
                <w:noProof w:val="1"/>
              </w:rPr>
              <w:t>T3</w:t>
            </w:r>
            <w:r>
              <w:rPr>
                <w:rFonts w:ascii="Old Standard TT" w:hAnsi="Old Standard TT"/>
                <w:b w:val="0"/>
                <w:sz w:val="16"/>
              </w:rPr>
              <w:t xml:space="preserve">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Courier New" w:hAnsi="Courier New"/>
                <w:b w:val="0"/>
                <w:sz w:val="16"/>
                <w:noProof w:val="1"/>
              </w:rPr>
              <w:t>T3</w:t>
            </w:r>
            <w:r>
              <w:rPr>
                <w:rFonts w:ascii="Old Standard TT" w:hAnsi="Old Standard TT"/>
                <w:b w:val="0"/>
                <w:sz w:val="16"/>
              </w:rPr>
              <w:t xml:space="preserve">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 xml:space="preserve">not covered; defeats </w:t>
            </w:r>
            <w:r>
              <w:rPr>
                <w:rFonts w:ascii="Courier New" w:hAnsi="Courier New"/>
                <w:b w:val="0"/>
                <w:sz w:val="16"/>
                <w:noProof w:val="1"/>
              </w:rPr>
              <w:t>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3. The nine behaviours distilled from the four public accounts, and which ones an allowlist-relative scanner can see. Only item 3 is a mechanical page; items 1 and 2 warn; the rest need environment telemetry or multi-agent corpora and are out of scope for this artifact.</w:t>
      </w:r>
    </w:p>
    <w:p>
      <w:pPr>
        <w:pStyle w:val="Heading2"/>
        <w:keepNext/>
        <w:pageBreakBefore/>
      </w:pPr>
      <w:r>
        <w:t>Appendix C. A filled containment record for one evaluation class</w:t>
      </w:r>
    </w:p>
    <w:p>
      <w:pPr>
        <w:spacing w:after="100" w:line="259" w:lineRule="auto"/>
        <w:jc w:val="both"/>
      </w:pPr>
      <w:r>
        <w:rPr>
          <w:rFonts w:ascii="Old Standard TT" w:hAnsi="Old Standard TT"/>
          <w:sz w:val="21"/>
        </w:rPr>
        <w:t>Track 1 asks whether a third party could verify compliance without access to the lab's network. This is what that verification would consume: an example record a lab could attach to an evaluation class, filled here for the ExploitGym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448"/>
        <w:gridCol w:w="6912"/>
      </w:tblGrid>
      <w:tr>
        <w:trPr>
          <w:cantSplit/>
        </w:trPr>
        <w:tc>
          <w:tcPr>
            <w:tcW w:type="dxa" w:w="2448"/>
          </w:tcPr>
          <w:p>
            <w:pPr>
              <w:spacing w:line="269" w:lineRule="auto" w:after="0" w:before="0"/>
            </w:pPr>
            <w:r>
              <w:rPr>
                <w:rFonts w:ascii="Old Standard TT" w:hAnsi="Old Standard TT"/>
              </w:rPr>
            </w:r>
            <w:r>
              <w:rPr>
                <w:rFonts w:ascii="Old Standard TT" w:hAnsi="Old Standard TT"/>
                <w:b/>
                <w:sz w:val="16"/>
              </w:rPr>
              <w:t>Field</w:t>
            </w:r>
          </w:p>
        </w:tc>
        <w:tc>
          <w:tcPr>
            <w:tcW w:type="dxa" w:w="6912"/>
          </w:tcPr>
          <w:p>
            <w:pPr>
              <w:spacing w:line="269" w:lineRule="auto" w:after="0" w:before="0"/>
            </w:pPr>
            <w:r>
              <w:rPr>
                <w:rFonts w:ascii="Old Standard TT" w:hAnsi="Old Standard TT"/>
              </w:rPr>
            </w:r>
            <w:r>
              <w:rPr>
                <w:rFonts w:ascii="Old Standard TT" w:hAnsi="Old Standard TT"/>
                <w:b/>
                <w:sz w:val="16"/>
              </w:rPr>
              <w:t>Value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Evaluation class</w:t>
            </w:r>
          </w:p>
        </w:tc>
        <w:tc>
          <w:tcPr>
            <w:tcW w:type="dxa" w:w="6912"/>
          </w:tcPr>
          <w:p>
            <w:pPr>
              <w:spacing w:line="269" w:lineRule="auto" w:after="0" w:before="0"/>
            </w:pPr>
            <w:r>
              <w:rPr>
                <w:rFonts w:ascii="Old Standard TT" w:hAnsi="Old Standard TT"/>
              </w:rPr>
            </w:r>
            <w:r>
              <w:rPr>
                <w:rFonts w:ascii="Old Standard TT" w:hAnsi="Old Standard TT"/>
                <w:b w:val="0"/>
                <w:sz w:val="16"/>
              </w:rPr>
              <w:t>exploitgym-cyber-eval  (filled 2026-09-14)</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Declared scope</w:t>
            </w:r>
          </w:p>
        </w:tc>
        <w:tc>
          <w:tcPr>
            <w:tcW w:type="dxa" w:w="6912"/>
          </w:tcPr>
          <w:p>
            <w:pPr>
              <w:spacing w:line="269" w:lineRule="auto" w:after="0" w:before="0"/>
            </w:pPr>
            <w:r>
              <w:rPr>
                <w:rFonts w:ascii="Old Standard TT" w:hAnsi="Old Standard TT"/>
              </w:rPr>
            </w:r>
            <w:r>
              <w:rPr>
                <w:rFonts w:ascii="Old Standard TT" w:hAnsi="Old Standard TT"/>
                <w:b w:val="0"/>
                <w:sz w:val="16"/>
              </w:rPr>
              <w:t>allowlists/exploitgym.json</w:t>
              <w:br/>
              <w:t>sha256 f6484df479ecce81f61f4e5b3861cd01f25696e0fbc2f572de20b7903e65dc93</w:t>
              <w:br/>
            </w:r>
            <w:r>
              <w:rPr>
                <w:rFonts w:ascii="Courier New" w:hAnsi="Courier New"/>
                <w:b w:val="0"/>
                <w:sz w:val="16"/>
                <w:noProof w:val="1"/>
              </w:rPr>
              <w:t>allowed_hosts</w:t>
            </w:r>
            <w:r>
              <w:rPr>
                <w:rFonts w:ascii="Old Standard TT" w:hAnsi="Old Standard TT"/>
                <w:b w:val="0"/>
                <w:sz w:val="16"/>
              </w:rPr>
              <w:t xml:space="preserve">: api.anthropic.com, api.openai.com, artifactory.internal; </w:t>
            </w:r>
            <w:r>
              <w:rPr>
                <w:rFonts w:ascii="Courier New" w:hAnsi="Courier New"/>
                <w:b w:val="0"/>
                <w:sz w:val="16"/>
                <w:noProof w:val="1"/>
              </w:rPr>
              <w:t>internet_expected</w:t>
            </w:r>
            <w:r>
              <w:rPr>
                <w:rFonts w:ascii="Old Standard TT" w:hAnsi="Old Standard TT"/>
                <w:b w:val="0"/>
                <w:sz w:val="16"/>
              </w:rPr>
              <w:t>: false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Trace</w:t>
            </w:r>
          </w:p>
        </w:tc>
        <w:tc>
          <w:tcPr>
            <w:tcW w:type="dxa" w:w="6912"/>
          </w:tcPr>
          <w:p>
            <w:pPr>
              <w:spacing w:line="269" w:lineRule="auto" w:after="0" w:before="0"/>
            </w:pPr>
            <w:r>
              <w:rPr>
                <w:rFonts w:ascii="Old Standard TT" w:hAnsi="Old Standard TT"/>
              </w:rPr>
            </w:r>
            <w:r>
              <w:rPr>
                <w:rFonts w:ascii="Old Standard TT" w:hAnsi="Old Standard TT"/>
                <w:b w:val="0"/>
                <w:sz w:val="16"/>
              </w:rPr>
              <w:t>traces/hf_openai.json  (7 events)</w:t>
              <w:br/>
              <w:t>sha256 2aaaf0f915fa346821c43987207ef48ee60c674af734ba9597fa5ab2a48fcdf7</w:t>
              <w:br/>
              <w:t>RECONSTRUCTION from the public record (huggingface.co/blog/agent-intrusion-technical-timeline; openai.com/index/hugging-face-model-evaluation-security-incident). A lab would attach its own log.</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First out-of-scope stated destination</w:t>
            </w:r>
          </w:p>
        </w:tc>
        <w:tc>
          <w:tcPr>
            <w:tcW w:type="dxa" w:w="6912"/>
          </w:tcPr>
          <w:p>
            <w:pPr>
              <w:spacing w:line="269" w:lineRule="auto" w:after="0" w:before="0"/>
            </w:pPr>
            <w:r>
              <w:rPr>
                <w:rFonts w:ascii="Old Standard TT" w:hAnsi="Old Standard TT"/>
              </w:rPr>
            </w:r>
            <w:r>
              <w:rPr>
                <w:rFonts w:ascii="Old Standard TT" w:hAnsi="Old Standard TT"/>
                <w:b w:val="0"/>
                <w:sz w:val="16"/>
              </w:rPr>
              <w:t>event 3: cybergym-fn-7bf.modal.run</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Verdict</w:t>
            </w:r>
          </w:p>
        </w:tc>
        <w:tc>
          <w:tcPr>
            <w:tcW w:type="dxa" w:w="6912"/>
          </w:tcPr>
          <w:p>
            <w:pPr>
              <w:spacing w:line="269" w:lineRule="auto" w:after="0" w:before="0"/>
            </w:pPr>
            <w:r>
              <w:rPr>
                <w:rFonts w:ascii="Old Standard TT" w:hAnsi="Old Standard TT"/>
              </w:rPr>
            </w:r>
            <w:r>
              <w:rPr>
                <w:rFonts w:ascii="Old Standard TT" w:hAnsi="Old Standard TT"/>
                <w:b w:val="0"/>
                <w:sz w:val="16"/>
              </w:rPr>
              <w:t>PAGE  (3 warn-only findings, never paged)</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Who can recompute it, and how</w:t>
            </w:r>
          </w:p>
        </w:tc>
        <w:tc>
          <w:tcPr>
            <w:tcW w:type="dxa" w:w="6912"/>
          </w:tcPr>
          <w:p>
            <w:pPr>
              <w:spacing w:line="269" w:lineRule="auto" w:after="0" w:before="0"/>
            </w:pPr>
            <w:r>
              <w:rPr>
                <w:rFonts w:ascii="Old Standard TT" w:hAnsi="Old Standard TT"/>
              </w:rPr>
            </w:r>
            <w:r>
              <w:rPr>
                <w:rFonts w:ascii="Courier New" w:hAnsi="Courier New"/>
                <w:b w:val="0"/>
                <w:sz w:val="16"/>
                <w:noProof w:val="1"/>
                <w:shd w:val="clear" w:color="auto" w:fill="EDEDED"/>
              </w:rPr>
              <w:t>sentinel score traces/hf_openai.json</w:t>
            </w:r>
            <w:r>
              <w:rPr>
                <w:rFonts w:ascii="Old Standard TT" w:hAnsi="Old Standard TT"/>
                <w:b w:val="0"/>
                <w:sz w:val="16"/>
              </w:rPr>
              <w:br/>
              <w:t>the two files above and this repository; no network, no model, no API key</w:t>
              <w:br/>
            </w:r>
            <w:r>
              <w:rPr>
                <w:rFonts w:ascii="Courier New" w:hAnsi="Courier New"/>
                <w:b w:val="0"/>
                <w:sz w:val="16"/>
                <w:noProof w:val="1"/>
              </w:rPr>
              <w:t>core.py</w:t>
            </w:r>
            <w:r>
              <w:rPr>
                <w:rFonts w:ascii="Old Standard TT" w:hAnsi="Old Standard TT"/>
                <w:b w:val="0"/>
                <w:sz w:val="16"/>
              </w:rPr>
              <w:t xml:space="preserve"> sha256 1691ce806d1624dc…, </w:t>
            </w:r>
            <w:r>
              <w:rPr>
                <w:rFonts w:ascii="Courier New" w:hAnsi="Courier New"/>
                <w:b w:val="0"/>
                <w:sz w:val="16"/>
                <w:noProof w:val="1"/>
              </w:rPr>
              <w:t>extract.py</w:t>
            </w:r>
            <w:r>
              <w:rPr>
                <w:rFonts w:ascii="Old Standard TT" w:hAnsi="Old Standard TT"/>
                <w:b w:val="0"/>
                <w:sz w:val="16"/>
              </w:rPr>
              <w:t xml:space="preserve"> sha256 4f3e4cc85fa4a478…</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What the record does not establish</w:t>
            </w:r>
          </w:p>
        </w:tc>
        <w:tc>
          <w:tcPr>
            <w:tcW w:type="dxa" w:w="6912"/>
          </w:tcPr>
          <w:p>
            <w:pPr>
              <w:spacing w:line="269" w:lineRule="auto" w:after="0" w:before="0"/>
            </w:pPr>
            <w:r>
              <w:rPr>
                <w:rFonts w:ascii="Old Standard TT" w:hAnsi="Old Standard TT"/>
              </w:rPr>
            </w:r>
            <w:r>
              <w:rPr>
                <w:rFonts w:ascii="Old Standard TT" w:hAnsi="Old Standard TT"/>
                <w:b w:val="0"/>
                <w:sz w:val="16"/>
              </w:rPr>
              <w:t>• that the escape was prevented (page != prevent)</w:t>
              <w:br/>
              <w:t>• anything about traffic through allowlisted hosts (SSRF via a permitted proxy is invisible)</w:t>
              <w:br/>
              <w:t>• anything about destinations the agent reached but did not state (declared, not observed, action)</w:t>
            </w:r>
          </w:p>
        </w:tc>
      </w:tr>
    </w:tbl>
    <w:p>
      <w:pPr>
        <w:spacing w:line="312" w:lineRule="auto" w:before="140" w:after="200"/>
      </w:pPr>
      <w:r>
        <w:rPr>
          <w:rFonts w:ascii="Old Standard TT" w:hAnsi="Old Standard TT"/>
          <w:i/>
          <w:sz w:val="19"/>
        </w:rPr>
        <w:t>Table 4. The filled record, verbatim from records/exploitgym-cyber-eval.json. A second party recomputes the verdict from the two hashed files and the repository, offline. The trace here is a reconstruction; the record format does not depend on that.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 Id="rId27" Type="http://schemas.openxmlformats.org/officeDocument/2006/relationships/hyperlink" Target="https://apartresearch.com/sprints/ai-incident-response-sprint-2026-09-11-to-2026-09-13" TargetMode="External"/><Relationship Id="rId28" Type="http://schemas.openxmlformats.org/officeDocument/2006/relationships/hyperlink" Target="https://blog.securelayer7.net/huggingface-ai-agent-intrusion-technical-anatomy/" TargetMode="External"/><Relationship Id="rId29" Type="http://schemas.openxmlformats.org/officeDocument/2006/relationships/hyperlink" Target="https://www.elastic.co/security-labs/ai-agent-attack-detection-hugging-face-breach" TargetMode="External"/><Relationship Id="rId30" Type="http://schemas.openxmlformats.org/officeDocument/2006/relationships/hyperlink" Target="https://cloudsecurityalliance.org/" TargetMode="External"/><Relationship Id="rId31" Type="http://schemas.openxmlformats.org/officeDocument/2006/relationships/hyperlink" Target="https://www.coalitionforsecureai.org/wp-content/uploads/2026/03/AI-Incident-Response-1.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