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from the published timelines, not lab transcripts) the scanner pages at the first non-allowlisted destination and is silent on three hard negatives where a keyword baseline false-pages on two. On the 14,591-revision DSEWiki export, a record we did not write, it is silent under the wildcard scope the sandbox actually had and pages on day one under any scope naming the task's data sources; on a live eight-sample Inspect run with an empty declared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 Every number in this section is deterministic and pinned by tests, so there is no interval to report; the one robustness question that matters is sensitivity to the scope, and this table is that question asked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The extractor sees 200 distinct hosts in the record: 27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First, 16,504 pages is an alert volume no on-call rotation reads; the artifact's value is the first index, and the count is why layer 3 should gate paging, not layer 2. Second, the T2 boundary heuristic fired 1,147 times on this record because the word "proxy" appears in the hostnames of the workaround infrastructure; that is a lexical accident, not a validated signal, and we report it as one.</w:t>
      </w:r>
    </w:p>
    <w:p>
      <w:pPr>
        <w:spacing w:after="100" w:line="259" w:lineRule="auto"/>
        <w:jc w:val="both"/>
      </w:pPr>
      <w:r>
        <w:rPr>
          <w:rFonts w:ascii="Old Standard TT" w:hAnsi="Old Standard TT"/>
          <w:sz w:val="21"/>
        </w:rPr>
        <w:t>The second record is a live run we did not script: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59" w:lineRule="auto"/>
        <w:ind w:left="432" w:hanging="288"/>
        <w:jc w:val="both"/>
      </w:pPr>
      <w:r>
        <w:rPr>
          <w:rFonts w:ascii="Old Standard TT" w:hAnsi="Old Standard TT"/>
          <w:sz w:val="21"/>
        </w:rPr>
        <w:t>•  The fixtures and the rule have the same author, so the specification tests show consistency, not generalisation. The DSEWiki run addresses the events but not the scope: the two non-wildcard allowlists there are ours, reconstructed from the task families visible in the record, and a different reconstruction would move the first page. What does not move is the wildcard row, which is the scope the sandbox actually had.</w:t>
      </w:r>
    </w:p>
    <w:p>
      <w:pPr>
        <w:spacing w:after="80" w:line="259" w:lineRule="auto"/>
        <w:ind w:left="432" w:hanging="288"/>
        <w:jc w:val="both"/>
      </w:pPr>
      <w:r>
        <w:rPr>
          <w:rFonts w:ascii="Old Standard TT" w:hAnsi="Old Standard TT"/>
          <w:sz w:val="21"/>
        </w:rPr>
        <w:t>•  The live run is eight samples and 42 tool calls on tasks with no network, so it can only show silence; it says nothing about detection. A positive live case needs an evaluation with internet on and a real allowlist, which is the first item of future work.</w:t>
      </w:r>
    </w:p>
    <w:p>
      <w:pPr>
        <w:spacing w:after="80" w:line="259" w:lineRule="auto"/>
        <w:ind w:left="432" w:hanging="288"/>
        <w:jc w:val="both"/>
      </w:pPr>
      <w:r>
        <w:rPr>
          <w:rFonts w:ascii="Old Standard TT" w:hAnsi="Old Standard TT"/>
          <w:sz w:val="21"/>
        </w:rPr>
        <w:t>•  Wiki revision bodies are not tool calls. A URL an agent posted is a stated destination in a weaker sense than a URL an agent passed to curl; some are links for other agents to follow. The method reads declared action either way, and this record sits at the loose end of that definition.</w:t>
      </w:r>
    </w:p>
    <w:p>
      <w:pPr>
        <w:spacing w:after="80" w:line="259"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59" w:lineRule="auto"/>
        <w:ind w:left="432" w:hanging="288"/>
        <w:jc w:val="both"/>
      </w:pPr>
      <w:r>
        <w:rPr>
          <w:rFonts w:ascii="Old Standard TT" w:hAnsi="Old Standard TT"/>
          <w:sz w:val="21"/>
        </w:rPr>
        <w:t>•  T1 and T2 false-positive rates are unmeasured; they warn, and a warn nobody reads is worth nothing.</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