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Next Cigar</w:t>
      </w:r>
    </w:p>
    <w:p>
      <w:pPr>
        <w:pStyle w:val="Subtitle"/>
      </w:pPr>
      <w:r>
        <w:t xml:space="preserve">Business Plan — Wholesale Account Verification</w:t>
      </w:r>
    </w:p>
    <w:p>
      <w:pPr>
        <w:spacing w:after="60"/>
        <w:rPr>
          <w:b/>
          <w:bCs/>
          <w:sz w:val="20"/>
          <w:szCs w:val="20"/>
        </w:rPr>
      </w:pPr>
      <w:r>
        <w:rPr>
          <w:b/>
          <w:bCs/>
          <w:sz w:val="20"/>
          <w:szCs w:val="20"/>
        </w:rPr>
        <w:t xml:space="preserve">Prepared for: Faire wholesale-retailer verification</w:t>
      </w:r>
    </w:p>
    <w:p>
      <w:pPr>
        <w:spacing w:after="60"/>
        <w:rPr>
          <w:sz w:val="20"/>
          <w:szCs w:val="20"/>
        </w:rPr>
      </w:pPr>
      <w:r>
        <w:rPr>
          <w:sz w:val="20"/>
          <w:szCs w:val="20"/>
        </w:rPr>
        <w:t xml:space="preserve">Date: May 2026</w:t>
      </w:r>
    </w:p>
    <w:p>
      <w:pPr>
        <w:spacing w:after="60"/>
        <w:rPr>
          <w:sz w:val="20"/>
          <w:szCs w:val="20"/>
        </w:rPr>
      </w:pPr>
      <w:r>
        <w:rPr>
          <w:sz w:val="20"/>
          <w:szCs w:val="20"/>
        </w:rPr>
        <w:t xml:space="preserve">Business: The Next Cigar</w:t>
      </w:r>
    </w:p>
    <w:p>
      <w:pPr>
        <w:spacing w:after="60"/>
        <w:rPr>
          <w:sz w:val="20"/>
          <w:szCs w:val="20"/>
        </w:rPr>
      </w:pPr>
      <w:r>
        <w:rPr>
          <w:sz w:val="20"/>
          <w:szCs w:val="20"/>
        </w:rPr>
        <w:t xml:space="preserve">Website: https://thenextcigar.com</w:t>
      </w:r>
    </w:p>
    <w:p>
      <w:pPr>
        <w:spacing w:after="60"/>
        <w:rPr>
          <w:sz w:val="20"/>
          <w:szCs w:val="20"/>
        </w:rPr>
      </w:pPr>
      <w:r>
        <w:rPr>
          <w:sz w:val="20"/>
          <w:szCs w:val="20"/>
        </w:rPr>
        <w:t xml:space="preserve">Founder: Cristian Ortiz Suárez</w:t>
      </w:r>
    </w:p>
    <w:p>
      <w:pPr>
        <w:spacing w:after="60"/>
        <w:rPr>
          <w:sz w:val="20"/>
          <w:szCs w:val="20"/>
        </w:rPr>
      </w:pPr>
      <w:r>
        <w:rPr>
          <w:sz w:val="20"/>
          <w:szCs w:val="20"/>
        </w:rPr>
        <w:t xml:space="preserve">Business location: Sweden</w:t>
      </w:r>
    </w:p>
    <w:p>
      <w:pPr>
        <w:spacing w:after="320"/>
        <w:rPr>
          <w:sz w:val="20"/>
          <w:szCs w:val="20"/>
        </w:rPr>
      </w:pPr>
      <w:r>
        <w:rPr>
          <w:sz w:val="20"/>
          <w:szCs w:val="20"/>
        </w:rPr>
        <w:t xml:space="preserve">Business email: guatabeycigars@gmail.com</w:t>
      </w:r>
    </w:p>
    <w:p>
      <w:pPr>
        <w:pStyle w:val="Heading1"/>
        <w:spacing w:after="160" w:before="320"/>
      </w:pPr>
      <w:r>
        <w:t xml:space="preserve">1. Business Overview</w:t>
      </w:r>
    </w:p>
    <w:p>
      <w:pPr>
        <w:spacing w:after="120"/>
      </w:pPr>
      <w:r>
        <w:t xml:space="preserve">The Next Cigar is a premium editorial publication and curated retail experience for the cigar aficionado community in Europe and North America. Operating since 2025, we publish editorial coverage on cigar culture, festivals, and gear; maintain an interactive global map of cigar lounges and retailers; and operate a curated online shop at thenextcigar.com/shop/ selling premium accessories, branded merchandise, and digital guides.</w:t>
      </w:r>
    </w:p>
    <w:p>
      <w:pPr>
        <w:spacing w:after="120"/>
      </w:pPr>
      <w:r>
        <w:t xml:space="preserve">We are not a tobacco retailer. Our shop carries only accessories (cutters, humidors, lighters, ashtrays), branded apparel, lifestyle goods (watches, leather goods, glassware), and digital products. We comply with all applicable European e-commerce, VAT, and consumer-protection regulations.</w:t>
      </w:r>
    </w:p>
    <w:p>
      <w:pPr>
        <w:pStyle w:val="Heading1"/>
        <w:spacing w:after="160" w:before="320"/>
      </w:pPr>
      <w:r>
        <w:t xml:space="preserve">2. Sales Channels</w:t>
      </w:r>
    </w:p>
    <w:p>
      <w:pPr>
        <w:pStyle w:val="ListParagraph"/>
        <w:numPr>
          <w:ilvl w:val="0"/>
          <w:numId w:val="2"/>
        </w:numPr>
        <w:spacing w:after="80"/>
      </w:pPr>
      <w:r>
        <w:rPr>
          <w:b/>
          <w:bCs/>
        </w:rPr>
        <w:t xml:space="preserve">Primary: </w:t>
      </w:r>
      <w:r>
        <w:t xml:space="preserve">thenextcigar.com/shop/ — custom-built Astro storefront with Snipcart checkout and Stripe payments.</w:t>
      </w:r>
    </w:p>
    <w:p>
      <w:pPr>
        <w:pStyle w:val="ListParagraph"/>
        <w:numPr>
          <w:ilvl w:val="0"/>
          <w:numId w:val="2"/>
        </w:numPr>
        <w:spacing w:after="80"/>
      </w:pPr>
      <w:r>
        <w:rPr>
          <w:b/>
          <w:bCs/>
        </w:rPr>
        <w:t xml:space="preserve">Secondary: </w:t>
      </w:r>
      <w:r>
        <w:t xml:space="preserve">Curated product placements within editorial articles (gear roundups, gift guides, festival coverage).</w:t>
      </w:r>
    </w:p>
    <w:p>
      <w:pPr>
        <w:pStyle w:val="ListParagraph"/>
        <w:numPr>
          <w:ilvl w:val="0"/>
          <w:numId w:val="2"/>
        </w:numPr>
        <w:spacing w:after="80"/>
      </w:pPr>
      <w:r>
        <w:rPr>
          <w:b/>
          <w:bCs/>
        </w:rPr>
        <w:t xml:space="preserve">Newsletter: </w:t>
      </w:r>
      <w:r>
        <w:t xml:space="preserve">Weekly editorial digest with featured product spotlights to subscribers.</w:t>
      </w:r>
    </w:p>
    <w:p>
      <w:pPr>
        <w:pStyle w:val="ListParagraph"/>
        <w:numPr>
          <w:ilvl w:val="0"/>
          <w:numId w:val="2"/>
        </w:numPr>
        <w:spacing w:after="80"/>
      </w:pPr>
      <w:r>
        <w:rPr>
          <w:b/>
          <w:bCs/>
        </w:rPr>
        <w:t xml:space="preserve">Social: </w:t>
      </w:r>
      <w:r>
        <w:t xml:space="preserve">Instagram @thenextcigar with curated product carousels and editorial cross-posting.</w:t>
      </w:r>
    </w:p>
    <w:p>
      <w:pPr>
        <w:pStyle w:val="Heading1"/>
        <w:spacing w:after="160" w:before="320"/>
      </w:pPr>
      <w:r>
        <w:t xml:space="preserve">3. Target Customer</w:t>
      </w:r>
    </w:p>
    <w:p>
      <w:pPr>
        <w:spacing w:after="120"/>
      </w:pPr>
      <w:r>
        <w:t xml:space="preserve">Premium-lifestyle consumers aged 30–60, predominantly male, with disposable income for hobby and gift purchases in the €30–€300 price band. Geographically concentrated in the EU (Sweden, Germany, France, Spain, UK, Italy) with secondary readership in North America. The customer profile overlaps strongly with whisky enthusiasts, premium menswear shoppers, and luxury-travel readers.</w:t>
      </w:r>
    </w:p>
    <w:p>
      <w:pPr>
        <w:pStyle w:val="Heading1"/>
        <w:spacing w:after="160" w:before="320"/>
      </w:pPr>
      <w:r>
        <w:t xml:space="preserve">4. Editorial Traction (existing brand audience)</w:t>
      </w:r>
    </w:p>
    <w:p>
      <w:pPr>
        <w:pStyle w:val="ListParagraph"/>
        <w:numPr>
          <w:ilvl w:val="0"/>
          <w:numId w:val="2"/>
        </w:numPr>
        <w:spacing w:after="80"/>
      </w:pPr>
      <w:r>
        <w:rPr>
          <w:b/>
          <w:bCs/>
        </w:rPr>
        <w:t xml:space="preserve">Editorial site: </w:t>
      </w:r>
      <w:r>
        <w:t xml:space="preserve">thenextcigar.com — operational with 40+ in-depth editorial articles across cigar culture, gear, festivals, and industry news.</w:t>
      </w:r>
    </w:p>
    <w:p>
      <w:pPr>
        <w:pStyle w:val="ListParagraph"/>
        <w:numPr>
          <w:ilvl w:val="0"/>
          <w:numId w:val="2"/>
        </w:numPr>
        <w:spacing w:after="80"/>
      </w:pPr>
      <w:r>
        <w:rPr>
          <w:b/>
          <w:bCs/>
        </w:rPr>
        <w:t xml:space="preserve">Coverage range: </w:t>
      </w:r>
      <w:r>
        <w:t xml:space="preserve">Habanos Festival reporting, sustainability deep-dives, UK Tobacco and Vapes Act analysis, gear roundups.</w:t>
      </w:r>
    </w:p>
    <w:p>
      <w:pPr>
        <w:pStyle w:val="ListParagraph"/>
        <w:numPr>
          <w:ilvl w:val="0"/>
          <w:numId w:val="2"/>
        </w:numPr>
        <w:spacing w:after="80"/>
      </w:pPr>
      <w:r>
        <w:rPr>
          <w:b/>
          <w:bCs/>
        </w:rPr>
        <w:t xml:space="preserve">Curated map: </w:t>
      </w:r>
      <w:r>
        <w:t xml:space="preserve">Interactive global atlas of cigar lounges, retailers, and festivals at thenextcigar.com/category/cigar-events/.</w:t>
      </w:r>
    </w:p>
    <w:p>
      <w:pPr>
        <w:pStyle w:val="ListParagraph"/>
        <w:numPr>
          <w:ilvl w:val="0"/>
          <w:numId w:val="2"/>
        </w:numPr>
        <w:spacing w:after="80"/>
      </w:pPr>
      <w:r>
        <w:rPr>
          <w:b/>
          <w:bCs/>
        </w:rPr>
        <w:t xml:space="preserve">The Lounge: </w:t>
      </w:r>
      <w:r>
        <w:t xml:space="preserve">Members-only IRL connection network launching Q3 2026 (thenextcigar.com/lounge/).</w:t>
      </w:r>
    </w:p>
    <w:p>
      <w:pPr>
        <w:pStyle w:val="ListParagraph"/>
        <w:numPr>
          <w:ilvl w:val="0"/>
          <w:numId w:val="2"/>
        </w:numPr>
        <w:spacing w:after="80"/>
      </w:pPr>
      <w:r>
        <w:rPr>
          <w:b/>
          <w:bCs/>
        </w:rPr>
        <w:t xml:space="preserve">Existing affiliate relationships: </w:t>
      </w:r>
      <w:r>
        <w:t xml:space="preserve">Amazon Associates, Awin (Liberty Games and Alternative Airlines approved), Impact.com (in approval), Google AdSense (under review).</w:t>
      </w:r>
    </w:p>
    <w:p>
      <w:pPr>
        <w:pStyle w:val="ListParagraph"/>
        <w:numPr>
          <w:ilvl w:val="0"/>
          <w:numId w:val="2"/>
        </w:numPr>
        <w:spacing w:after="80"/>
      </w:pPr>
      <w:r>
        <w:rPr>
          <w:b/>
          <w:bCs/>
        </w:rPr>
        <w:t xml:space="preserve">Direct supplier relationship: </w:t>
      </w:r>
      <w:r>
        <w:t xml:space="preserve">Phillips &amp; King International, a US cigar-industry wholesaler, supplies our existing accessory line.</w:t>
      </w:r>
    </w:p>
    <w:p>
      <w:pPr>
        <w:pStyle w:val="Heading1"/>
        <w:spacing w:after="160" w:before="320"/>
      </w:pPr>
      <w:r>
        <w:t xml:space="preserve">5. Product Categories of Interest on Faire</w:t>
      </w:r>
    </w:p>
    <w:p>
      <w:pPr>
        <w:spacing w:after="120"/>
      </w:pPr>
      <w:r>
        <w:t xml:space="preserve">We are seeking to source from independent European brands across these categories for our curated shop:</w:t>
      </w:r>
    </w:p>
    <w:p>
      <w:pPr>
        <w:pStyle w:val="ListParagraph"/>
        <w:numPr>
          <w:ilvl w:val="0"/>
          <w:numId w:val="2"/>
        </w:numPr>
        <w:spacing w:after="80"/>
      </w:pPr>
      <w:r>
        <w:rPr>
          <w:b/>
          <w:bCs/>
        </w:rPr>
        <w:t xml:space="preserve">Apparel: </w:t>
      </w:r>
      <w:r>
        <w:t xml:space="preserve">Premium men’s polo shirts, knitwear, casual blazers, smoking jackets (Italian and Portuguese makers preferred).</w:t>
      </w:r>
    </w:p>
    <w:p>
      <w:pPr>
        <w:pStyle w:val="ListParagraph"/>
        <w:numPr>
          <w:ilvl w:val="0"/>
          <w:numId w:val="2"/>
        </w:numPr>
        <w:spacing w:after="80"/>
      </w:pPr>
      <w:r>
        <w:rPr>
          <w:b/>
          <w:bCs/>
        </w:rPr>
        <w:t xml:space="preserve">Leather goods: </w:t>
      </w:r>
      <w:r>
        <w:t xml:space="preserve">Wallets, card holders, journals, travel cases, watch rolls.</w:t>
      </w:r>
    </w:p>
    <w:p>
      <w:pPr>
        <w:pStyle w:val="ListParagraph"/>
        <w:numPr>
          <w:ilvl w:val="0"/>
          <w:numId w:val="2"/>
        </w:numPr>
        <w:spacing w:after="80"/>
      </w:pPr>
      <w:r>
        <w:rPr>
          <w:b/>
          <w:bCs/>
        </w:rPr>
        <w:t xml:space="preserve">Home and barware: </w:t>
      </w:r>
      <w:r>
        <w:t xml:space="preserve">Crystal ashtrays, premium decanters, whisky glasses, marble coasters.</w:t>
      </w:r>
    </w:p>
    <w:p>
      <w:pPr>
        <w:pStyle w:val="ListParagraph"/>
        <w:numPr>
          <w:ilvl w:val="0"/>
          <w:numId w:val="2"/>
        </w:numPr>
        <w:spacing w:after="80"/>
      </w:pPr>
      <w:r>
        <w:rPr>
          <w:b/>
          <w:bCs/>
        </w:rPr>
        <w:t xml:space="preserve">Watches: </w:t>
      </w:r>
      <w:r>
        <w:t xml:space="preserve">Mechanical watches from independent European makers (€80–€300 retail tier).</w:t>
      </w:r>
    </w:p>
    <w:p>
      <w:pPr>
        <w:pStyle w:val="ListParagraph"/>
        <w:numPr>
          <w:ilvl w:val="0"/>
          <w:numId w:val="2"/>
        </w:numPr>
        <w:spacing w:after="80"/>
      </w:pPr>
      <w:r>
        <w:rPr>
          <w:b/>
          <w:bCs/>
        </w:rPr>
        <w:t xml:space="preserve">Stationery: </w:t>
      </w:r>
      <w:r>
        <w:t xml:space="preserve">Premium notebooks and journals for our tasting-diary product line.</w:t>
      </w:r>
    </w:p>
    <w:p>
      <w:pPr>
        <w:pStyle w:val="ListParagraph"/>
        <w:numPr>
          <w:ilvl w:val="0"/>
          <w:numId w:val="2"/>
        </w:numPr>
        <w:spacing w:after="80"/>
      </w:pPr>
      <w:r>
        <w:rPr>
          <w:b/>
          <w:bCs/>
        </w:rPr>
        <w:t xml:space="preserve">Candles and home fragrance: </w:t>
      </w:r>
      <w:r>
        <w:t xml:space="preserve">Tobacco, leather, and cedar-noted home fragrance.</w:t>
      </w:r>
    </w:p>
    <w:p>
      <w:pPr>
        <w:pStyle w:val="Heading1"/>
        <w:spacing w:after="160" w:before="320"/>
      </w:pPr>
      <w:r>
        <w:t xml:space="preserve">6. Projected Order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BFBFBF" w:sz="1"/>
              <w:left w:val="single" w:color="BFBFBF" w:sz="1"/>
              <w:bottom w:val="single" w:color="BFBFBF" w:sz="1"/>
              <w:right w:val="single" w:color="BFBFBF" w:sz="1"/>
            </w:tcBorders>
            <w:shd w:fill="F2EFE4" w:val="clear"/>
            <w:tcMar>
              <w:top w:type="dxa" w:w="100"/>
              <w:left w:type="dxa" w:w="140"/>
              <w:bottom w:type="dxa" w:w="100"/>
              <w:right w:type="dxa" w:w="140"/>
            </w:tcMar>
          </w:tcPr>
          <w:p>
            <w:pPr>
              <w:spacing w:after="0"/>
            </w:pPr>
            <w:r>
              <w:rPr>
                <w:b/>
                <w:bCs/>
              </w:rPr>
              <w:t xml:space="preserve">Period</w:t>
            </w:r>
          </w:p>
        </w:tc>
        <w:tc>
          <w:tcPr>
            <w:tcW w:type="dxa" w:w="2400"/>
            <w:tcBorders>
              <w:top w:val="single" w:color="BFBFBF" w:sz="1"/>
              <w:left w:val="single" w:color="BFBFBF" w:sz="1"/>
              <w:bottom w:val="single" w:color="BFBFBF" w:sz="1"/>
              <w:right w:val="single" w:color="BFBFBF" w:sz="1"/>
            </w:tcBorders>
            <w:shd w:fill="F2EFE4" w:val="clear"/>
            <w:tcMar>
              <w:top w:type="dxa" w:w="100"/>
              <w:left w:type="dxa" w:w="140"/>
              <w:bottom w:type="dxa" w:w="100"/>
              <w:right w:type="dxa" w:w="140"/>
            </w:tcMar>
          </w:tcPr>
          <w:p>
            <w:pPr>
              <w:spacing w:after="0"/>
            </w:pPr>
            <w:r>
              <w:rPr>
                <w:b/>
                <w:bCs/>
              </w:rPr>
              <w:t xml:space="preserve">Monthly orders (est.)</w:t>
            </w:r>
          </w:p>
        </w:tc>
        <w:tc>
          <w:tcPr>
            <w:tcW w:type="dxa" w:w="2200"/>
            <w:tcBorders>
              <w:top w:val="single" w:color="BFBFBF" w:sz="1"/>
              <w:left w:val="single" w:color="BFBFBF" w:sz="1"/>
              <w:bottom w:val="single" w:color="BFBFBF" w:sz="1"/>
              <w:right w:val="single" w:color="BFBFBF" w:sz="1"/>
            </w:tcBorders>
            <w:shd w:fill="F2EFE4" w:val="clear"/>
            <w:tcMar>
              <w:top w:type="dxa" w:w="100"/>
              <w:left w:type="dxa" w:w="140"/>
              <w:bottom w:type="dxa" w:w="100"/>
              <w:right w:type="dxa" w:w="140"/>
            </w:tcMar>
          </w:tcPr>
          <w:p>
            <w:pPr>
              <w:spacing w:after="0"/>
            </w:pPr>
            <w:r>
              <w:rPr>
                <w:b/>
                <w:bCs/>
              </w:rPr>
              <w:t xml:space="preserve">Average order value</w:t>
            </w:r>
          </w:p>
        </w:tc>
        <w:tc>
          <w:tcPr>
            <w:tcW w:type="dxa" w:w="2360"/>
            <w:tcBorders>
              <w:top w:val="single" w:color="BFBFBF" w:sz="1"/>
              <w:left w:val="single" w:color="BFBFBF" w:sz="1"/>
              <w:bottom w:val="single" w:color="BFBFBF" w:sz="1"/>
              <w:right w:val="single" w:color="BFBFBF" w:sz="1"/>
            </w:tcBorders>
            <w:shd w:fill="F2EFE4" w:val="clear"/>
            <w:tcMar>
              <w:top w:type="dxa" w:w="100"/>
              <w:left w:type="dxa" w:w="140"/>
              <w:bottom w:type="dxa" w:w="100"/>
              <w:right w:type="dxa" w:w="140"/>
            </w:tcMar>
          </w:tcPr>
          <w:p>
            <w:pPr>
              <w:spacing w:after="0"/>
            </w:pPr>
            <w:r>
              <w:rPr>
                <w:b/>
                <w:bCs/>
              </w:rPr>
              <w:t xml:space="preserve">Projected monthly spend</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Q3 2026 (launch)</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5–15 orders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€120</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€600–€1,800</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Q4 2026</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15–40 orders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€140</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€2,100–€5,600</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2027 forward</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50+ orders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€160</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val="false"/>
                <w:bCs w:val="false"/>
              </w:rPr>
              <w:t xml:space="preserve">€8,000+</w:t>
            </w:r>
          </w:p>
        </w:tc>
      </w:tr>
    </w:tbl>
    <w:p>
      <w:pPr>
        <w:spacing w:after="240" w:before="200"/>
      </w:pPr>
      <w:r>
        <w:rPr>
          <w:i/>
          <w:iCs/>
          <w:sz w:val="20"/>
          <w:szCs w:val="20"/>
        </w:rPr>
        <w:t xml:space="preserve">These projections are based on our existing editorial traffic and the conversion benchmarks of comparable premium-lifestyle publications operating shops (1–2% reader-to-shop conversion).</w:t>
      </w:r>
    </w:p>
    <w:p>
      <w:pPr>
        <w:pStyle w:val="Heading1"/>
        <w:spacing w:after="160" w:before="320"/>
      </w:pPr>
      <w:r>
        <w:t xml:space="preserve">7. Operations and Fulfillment</w:t>
      </w:r>
    </w:p>
    <w:p>
      <w:pPr>
        <w:pStyle w:val="ListParagraph"/>
        <w:numPr>
          <w:ilvl w:val="0"/>
          <w:numId w:val="2"/>
        </w:numPr>
        <w:spacing w:after="80"/>
      </w:pPr>
      <w:r>
        <w:rPr>
          <w:b/>
          <w:bCs/>
        </w:rPr>
        <w:t xml:space="preserve">Order processing: </w:t>
      </w:r>
      <w:r>
        <w:t xml:space="preserve">Snipcart automated order capture, Stripe payments, VAT MOSS-compliant for EU sales.</w:t>
      </w:r>
    </w:p>
    <w:p>
      <w:pPr>
        <w:pStyle w:val="ListParagraph"/>
        <w:numPr>
          <w:ilvl w:val="0"/>
          <w:numId w:val="2"/>
        </w:numPr>
        <w:spacing w:after="80"/>
      </w:pPr>
      <w:r>
        <w:rPr>
          <w:b/>
          <w:bCs/>
        </w:rPr>
        <w:t xml:space="preserve">Fulfillment model: </w:t>
      </w:r>
      <w:r>
        <w:t xml:space="preserve">Inventory held at small Swedish 3PL (Sendcloud or Ongoing) for fast EU shipping (2–4 days within the EU).</w:t>
      </w:r>
    </w:p>
    <w:p>
      <w:pPr>
        <w:pStyle w:val="ListParagraph"/>
        <w:numPr>
          <w:ilvl w:val="0"/>
          <w:numId w:val="2"/>
        </w:numPr>
        <w:spacing w:after="80"/>
      </w:pPr>
      <w:r>
        <w:rPr>
          <w:b/>
          <w:bCs/>
        </w:rPr>
        <w:t xml:space="preserve">Returns and customer service: </w:t>
      </w:r>
      <w:r>
        <w:t xml:space="preserve">Handled directly by The Next Cigar editorial team via guatabeycigars@gmail.com and the published returns policy at thenextcigar.com/contact/.</w:t>
      </w:r>
    </w:p>
    <w:p>
      <w:pPr>
        <w:pStyle w:val="ListParagraph"/>
        <w:numPr>
          <w:ilvl w:val="0"/>
          <w:numId w:val="2"/>
        </w:numPr>
        <w:spacing w:after="80"/>
      </w:pPr>
      <w:r>
        <w:rPr>
          <w:b/>
          <w:bCs/>
        </w:rPr>
        <w:t xml:space="preserve">Tax compliance: </w:t>
      </w:r>
      <w:r>
        <w:t xml:space="preserve">Swedish business tax registration in process; EU VAT OSS scheme enrollment in progress for cross-border EU sales.</w:t>
      </w:r>
    </w:p>
    <w:p>
      <w:pPr>
        <w:pStyle w:val="Heading1"/>
        <w:spacing w:after="160" w:before="320"/>
      </w:pPr>
      <w:r>
        <w:t xml:space="preserve">8. Why Faire Fits Our Sourcing Strategy</w:t>
      </w:r>
    </w:p>
    <w:p>
      <w:pPr>
        <w:spacing w:after="120"/>
      </w:pPr>
      <w:r>
        <w:t xml:space="preserve">We are deliberately moving away from mass-market dropship platforms and toward curated independent European brands because our editorial audience demands authenticity, quality, and provenance. Faire’s curation philosophy — independent makers, European production, transparent supplier information — aligns directly with how we recommend products to our readers. Every item we sell is editorially endorsed, photographed for our own catalog, and contextually linked from our editorial articles.</w:t>
      </w:r>
    </w:p>
    <w:p>
      <w:pPr>
        <w:pStyle w:val="Heading1"/>
        <w:spacing w:after="160" w:before="320"/>
      </w:pPr>
      <w:r>
        <w:t xml:space="preserve">9. Founder Background</w:t>
      </w:r>
    </w:p>
    <w:p>
      <w:pPr>
        <w:spacing w:after="120"/>
      </w:pPr>
      <w:r>
        <w:t xml:space="preserve">Cristian Ortiz Suárez is the founder and editor of The Next Cigar. Based in Sweden with regional roots in the Hispanic-Caribbean cigar tradition (Guatabey Cigars heritage), Cristian has built The Next Cigar from a personal editorial project into a full-stack premium publication with operating shop, members’ product, and active brand partnerships.</w:t>
      </w:r>
    </w:p>
    <w:p>
      <w:pPr>
        <w:pBdr>
          <w:top w:val="single" w:color="6E2620" w:sz="8" w:space="8"/>
        </w:pBdr>
        <w:spacing w:after="80" w:before="480"/>
      </w:pPr>
      <w:r>
        <w:rPr>
          <w:b/>
          <w:bCs/>
          <w:color w:val="6E2620"/>
          <w:sz w:val="24"/>
          <w:szCs w:val="24"/>
        </w:rPr>
        <w:t xml:space="preserve">Contact for verification questions</w:t>
      </w:r>
    </w:p>
    <w:p>
      <w:pPr>
        <w:spacing w:after="60"/>
        <w:rPr>
          <w:sz w:val="20"/>
          <w:szCs w:val="20"/>
        </w:rPr>
      </w:pPr>
      <w:r>
        <w:rPr>
          <w:sz w:val="20"/>
          <w:szCs w:val="20"/>
        </w:rPr>
        <w:t xml:space="preserve">Email: guatabeycigars@gmail.com</w:t>
      </w:r>
    </w:p>
    <w:p>
      <w:pPr>
        <w:spacing w:after="60"/>
        <w:rPr>
          <w:sz w:val="20"/>
          <w:szCs w:val="20"/>
        </w:rPr>
      </w:pPr>
      <w:r>
        <w:rPr>
          <w:sz w:val="20"/>
          <w:szCs w:val="20"/>
        </w:rPr>
        <w:t xml:space="preserve">Website: https://thenextcigar.com</w:t>
      </w:r>
    </w:p>
    <w:p>
      <w:pPr>
        <w:spacing w:after="60"/>
        <w:rPr>
          <w:sz w:val="20"/>
          <w:szCs w:val="20"/>
        </w:rPr>
      </w:pPr>
      <w:r>
        <w:rPr>
          <w:sz w:val="20"/>
          <w:szCs w:val="20"/>
        </w:rPr>
        <w:t xml:space="preserve">Instagram: https://instagram.com/thenextcigar</w:t>
      </w:r>
    </w:p>
    <w:p>
      <w:pPr>
        <w:spacing w:after="60"/>
        <w:rPr>
          <w:sz w:val="20"/>
          <w:szCs w:val="20"/>
        </w:rPr>
      </w:pPr>
      <w:r>
        <w:rPr>
          <w:sz w:val="20"/>
          <w:szCs w:val="20"/>
        </w:rPr>
        <w:t xml:space="preserve">Shop: https://thenextcigar.com/shop/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Arial" w:cs="Arial" w:eastAsia="Arial" w:hAnsi="Arial"/>
      <w:b/>
      <w:bCs/>
      <w:color w:val="2A1A14"/>
      <w:sz w:val="44"/>
      <w:szCs w:val="44"/>
    </w:rPr>
  </w:style>
  <w:style w:type="paragraph" w:styleId="Subtitle">
    <w:name w:val="Subtitle"/>
    <w:basedOn w:val="Normal"/>
    <w:next w:val="Normal"/>
    <w:pPr>
      <w:spacing w:after="320" w:before="0"/>
    </w:pPr>
    <w:rPr>
      <w:rFonts w:ascii="Arial" w:cs="Arial" w:eastAsia="Arial" w:hAnsi="Arial"/>
      <w:i/>
      <w:iCs/>
      <w:color w:val="6E2620"/>
      <w:sz w:val="22"/>
      <w:szCs w:val="22"/>
    </w:rPr>
  </w:style>
  <w:style w:type="paragraph" w:styleId="Heading1">
    <w:name w:val="Heading 1"/>
    <w:basedOn w:val="Normal"/>
    <w:next w:val="Normal"/>
    <w:qFormat/>
    <w:pPr>
      <w:spacing w:after="160" w:before="320"/>
      <w:outlineLvl w:val="0"/>
    </w:pPr>
    <w:rPr>
      <w:rFonts w:ascii="Arial" w:cs="Arial" w:eastAsia="Arial" w:hAnsi="Arial"/>
      <w:b/>
      <w:bCs/>
      <w:color w:val="2A1A1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6E26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2026-05-11T16:26:14.406Z</dcterms:created>
  <dcterms:modified xsi:type="dcterms:W3CDTF">2026-05-11T16:26:14.406Z</dcterms:modified>
</cp:coreProperties>
</file>

<file path=docProps/custom.xml><?xml version="1.0" encoding="utf-8"?>
<Properties xmlns="http://schemas.openxmlformats.org/officeDocument/2006/custom-properties" xmlns:vt="http://schemas.openxmlformats.org/officeDocument/2006/docPropsVTypes"/>
</file>