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40"/>
        <w:jc w:val="left"/>
      </w:pPr>
      <w:r>
        <w:rPr>
          <w:rFonts w:ascii="Calibri" w:cs="Calibri" w:eastAsia="Calibri" w:hAnsi="Calibri"/>
          <w:b/>
          <w:bCs/>
          <w:caps/>
          <w:color w:val="B8860B"/>
          <w:sz w:val="20"/>
          <w:szCs w:val="20"/>
        </w:rPr>
        <w:t xml:space="preserve">Documento 07 de 07 · Suite empleoBio</w:t>
      </w:r>
    </w:p>
    <w:p>
      <w:pPr>
        <w:spacing w:after="60"/>
        <w:jc w:val="left"/>
      </w:pPr>
      <w:r>
        <w:rPr>
          <w:rFonts w:ascii="Calibri" w:cs="Calibri" w:eastAsia="Calibri" w:hAnsi="Calibri"/>
          <w:b/>
          <w:bCs/>
          <w:caps/>
          <w:color w:val="0E7C7B"/>
          <w:sz w:val="22"/>
          <w:szCs w:val="22"/>
        </w:rPr>
        <w:t xml:space="preserve">Mercado universitario + modelo de precio</w:t>
      </w:r>
    </w:p>
    <w:p>
      <w:pPr>
        <w:spacing w:after="80"/>
        <w:jc w:val="left"/>
      </w:pPr>
      <w:r>
        <w:rPr>
          <w:rFonts w:ascii="Georgia" w:cs="Georgia" w:eastAsia="Georgia" w:hAnsi="Georgia"/>
          <w:b/>
          <w:bCs/>
          <w:color w:val="12324F"/>
          <w:sz w:val="52"/>
          <w:szCs w:val="52"/>
        </w:rPr>
        <w:t xml:space="preserve">Vender en tu Ecosistema</w:t>
      </w:r>
    </w:p>
    <w:p>
      <w:pPr>
        <w:pBdr>
          <w:bottom w:val="single" w:color="B8860B" w:sz="18" w:space="10"/>
        </w:pBdr>
        <w:spacing w:after="200"/>
        <w:jc w:val="left"/>
      </w:pPr>
      <w:r>
        <w:rPr>
          <w:rFonts w:ascii="Calibri" w:cs="Calibri" w:eastAsia="Calibri" w:hAnsi="Calibri"/>
          <w:color w:val="1F4E79"/>
          <w:sz w:val="26"/>
          <w:szCs w:val="26"/>
        </w:rPr>
        <w:t xml:space="preserve">Productos para tu universidad y un modelo de precio que crece con cada commit · 2026</w:t>
      </w:r>
    </w:p>
    <w:p>
      <w:pPr>
        <w:spacing w:after="200" w:before="160"/>
        <w:jc w:val="left"/>
      </w:pPr>
      <w:r>
        <w:rPr>
          <w:rFonts w:ascii="Georgia" w:cs="Georgia" w:eastAsia="Georgia" w:hAnsi="Georgia"/>
          <w:i/>
          <w:iCs/>
          <w:color w:val="5B6770"/>
          <w:sz w:val="22"/>
          <w:szCs w:val="22"/>
        </w:rPr>
        <w:t xml:space="preserve">“Que la gente en el entorno donde socializo esté dispuesta a pagarme lo que vale.”</w:t>
      </w:r>
    </w:p>
    <w:p>
      <w:pPr>
        <w:spacing w:after="30"/>
      </w:pPr>
      <w:r>
        <w:rPr>
          <w:rFonts w:ascii="Calibri" w:cs="Calibri" w:eastAsia="Calibri" w:hAnsi="Calibri"/>
          <w:color w:val="5B6770"/>
          <w:sz w:val="19"/>
          <w:szCs w:val="19"/>
        </w:rPr>
        <w:t xml:space="preserve">Preparado para: cjalcivar@gmail.com</w:t>
      </w:r>
    </w:p>
    <w:p>
      <w:pPr>
        <w:spacing w:after="30"/>
      </w:pPr>
      <w:r>
        <w:rPr>
          <w:rFonts w:ascii="Calibri" w:cs="Calibri" w:eastAsia="Calibri" w:hAnsi="Calibri"/>
          <w:color w:val="5B6770"/>
          <w:sz w:val="19"/>
          <w:szCs w:val="19"/>
        </w:rPr>
        <w:t xml:space="preserve">Fecha: 28 de julio de 2026</w:t>
      </w:r>
    </w:p>
    <w:p>
      <w:pPr>
        <w:spacing w:after="30"/>
      </w:pPr>
      <w:r>
        <w:rPr>
          <w:rFonts w:ascii="Calibri" w:cs="Calibri" w:eastAsia="Calibri" w:hAnsi="Calibri"/>
          <w:color w:val="5B6770"/>
          <w:sz w:val="19"/>
          <w:szCs w:val="19"/>
        </w:rPr>
        <w:t xml:space="preserve">Incluye: ideas por audiencia mapeadas a tus materias · flagship recomendado · filosofía de precio-por-valor · modelo en Excel · bases de carpetas</w:t>
      </w:r>
    </w:p>
    <w:p>
      <w:pPr>
        <w:spacing w:after="30"/>
      </w:pPr>
      <w:r>
        <w:rPr>
          <w:rFonts w:ascii="Calibri" w:cs="Calibri" w:eastAsia="Calibri" w:hAnsi="Calibri"/>
          <w:color w:val="5B6770"/>
          <w:sz w:val="19"/>
          <w:szCs w:val="19"/>
        </w:rPr>
        <w:t xml:space="preserve">Complementa: Taller_MVP/Mercado_Universitario/ y Taller_MVP/Modelo_de_Valor/</w:t>
      </w:r>
    </w:p>
    <w:p>
      <w:r>
        <w:br w:type="page"/>
      </w:r>
    </w:p>
    <w:p>
      <w:pPr>
        <w:spacing w:after="120" w:before="100"/>
      </w:pPr>
      <w:r>
        <w:rPr>
          <w:rFonts w:ascii="Calibri" w:cs="Calibri" w:eastAsia="Calibri" w:hAnsi="Calibri"/>
          <w:b/>
          <w:bCs/>
          <w:color w:val="12324F"/>
          <w:sz w:val="26"/>
          <w:szCs w:val="2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1 · Tu universidad es tu mejor campo de pruebas</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Tu instinto vuelve a ser correcto: validar en tu propio entorno es una ventaja de fundador que casi nadie aprovecha. Tienes acceso directo a los usuarios —los ves en el pasillo—, puedes iterar en días en vez de semanas, y consigues tus primeros pagos donde ya tienes confianza y red. Estás en una universidad de vanguardia, fuerte en enfermería/salud y con varias facultades: eso es un mercado cautivo y variado a tu alcance.</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Pongo la vara alta como pediste, pero con una regla de realismo que la investigación de mercado confirma: en el entorno estudiantil se vende lo que la gente YA paga —prep de exámenes, ahorro de tiempo en la tesis, referencias premium— no clones gratuitos de calculadoras, que se esperan gratis. Por eso las ideas de abajo apuntan a dolores con disposición real a pagar.</w:t>
      </w:r>
    </w:p>
    <w:tbl>
      <w:tblPr>
        <w:tblW w:type="dxa" w:w="9360"/>
        <w:tblBorders>
          <w:top w:val="single" w:color="E4F1F1" w:sz="2"/>
          <w:left w:val="single" w:color="0E7C7B" w:sz="30"/>
          <w:bottom w:val="single" w:color="E4F1F1" w:sz="2"/>
          <w:right w:val="single" w:color="E4F1F1" w:sz="2"/>
          <w:insideH w:val="single" w:color="auto" w:sz="4"/>
          <w:insideV w:val="single" w:color="auto" w:sz="4"/>
        </w:tblBorders>
      </w:tblPr>
      <w:tblGrid>
        <w:gridCol w:w="9360"/>
      </w:tblGrid>
      <w:tr>
        <w:tc>
          <w:tcPr>
            <w:tcW w:type="dxa" w:w="9360"/>
            <w:shd w:fill="E4F1F1" w:color="auto" w:val="clear"/>
            <w:tcMar>
              <w:top w:type="dxa" w:w="120"/>
              <w:left w:type="dxa" w:w="200"/>
              <w:bottom w:type="dxa" w:w="120"/>
              <w:right w:type="dxa" w:w="160"/>
            </w:tcMar>
          </w:tcPr>
          <w:p>
            <w:pPr>
              <w:spacing w:after="60"/>
            </w:pPr>
            <w:r>
              <w:rPr>
                <w:rFonts w:ascii="Calibri" w:cs="Calibri" w:eastAsia="Calibri" w:hAnsi="Calibri"/>
                <w:b/>
                <w:bCs/>
                <w:caps/>
                <w:color w:val="0E7C7B"/>
                <w:sz w:val="20"/>
                <w:szCs w:val="20"/>
              </w:rPr>
              <w:t xml:space="preserve">Tu ventaja de validación</w:t>
            </w:r>
          </w:p>
          <w:p>
            <w:pPr>
              <w:spacing w:after="40" w:line="264"/>
            </w:pPr>
            <w:r>
              <w:rPr>
                <w:rFonts w:ascii="Calibri" w:cs="Calibri" w:eastAsia="Calibri" w:hAnsi="Calibri"/>
                <w:b w:val="false"/>
                <w:bCs w:val="false"/>
                <w:i w:val="false"/>
                <w:iCs w:val="false"/>
                <w:caps w:val="false"/>
                <w:color w:val="222222"/>
                <w:sz w:val="21"/>
                <w:szCs w:val="21"/>
              </w:rPr>
              <w:t xml:space="preserve">Un fundador externo gasta meses buscando usuarios. Tú los tienes a un pasillo de distancia. Puedes preguntar “¿pagarías $2 por esto?” a 20 compañeros esta semana. Esa velocidad de validación vale más que cualquier idea brillante.</w:t>
            </w:r>
          </w:p>
        </w:tc>
      </w:tr>
    </w:tbl>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2 · El menú de ideas por audiencia</w:t>
      </w:r>
    </w:p>
    <w:p>
      <w:pPr>
        <w:spacing w:after="40" w:before="0" w:line="276"/>
        <w:jc w:val="both"/>
      </w:pPr>
      <w:r>
        <w:rPr>
          <w:rFonts w:ascii="Calibri" w:cs="Calibri" w:eastAsia="Calibri" w:hAnsi="Calibri"/>
          <w:b w:val="false"/>
          <w:bCs w:val="false"/>
          <w:i w:val="false"/>
          <w:iCs w:val="false"/>
          <w:caps w:val="false"/>
          <w:color w:val="222222"/>
          <w:sz w:val="21"/>
          <w:szCs w:val="21"/>
        </w:rPr>
        <w:t xml:space="preserve">Curado, no exhaustivo (para no saturarte). Cada idea está mapeada a una materia tuya y a un dolor real, con los skills que practicas. La versión editable está en </w:t>
      </w:r>
    </w:p>
    <w:p>
      <w:pPr>
        <w:spacing w:after="100" w:before="0" w:line="276"/>
        <w:jc w:val="both"/>
      </w:pPr>
      <w:r>
        <w:rPr>
          <w:rFonts w:ascii="Calibri" w:cs="Calibri" w:eastAsia="Calibri" w:hAnsi="Calibri"/>
          <w:b w:val="false"/>
          <w:bCs w:val="false"/>
          <w:i w:val="false"/>
          <w:iCs w:val="false"/>
          <w:caps w:val="false"/>
          <w:color w:val="222222"/>
          <w:sz w:val="21"/>
          <w:szCs w:val="21"/>
        </w:rPr>
        <w:t xml:space="preserve">Taller_MVP/Mercado_Universitario/README.md</w:t>
      </w:r>
      <w:r>
        <w:rPr>
          <w:rFonts w:ascii="Consolas" w:cs="Consolas" w:eastAsia="Consolas" w:hAnsi="Consolas"/>
          <w:b w:val="false"/>
          <w:bCs w:val="false"/>
          <w:i w:val="false"/>
          <w:iCs w:val="false"/>
          <w:caps w:val="false"/>
          <w:color w:val="1F4E79"/>
          <w:sz w:val="21"/>
          <w:szCs w:val="21"/>
        </w:rPr>
        <w:t xml:space="preserve">.</w:t>
      </w:r>
    </w:p>
    <w:p>
      <w:pPr>
        <w:pStyle w:val="Heading2"/>
        <w:spacing w:after="100" w:before="260"/>
      </w:pPr>
      <w:r>
        <w:rPr>
          <w:rFonts w:ascii="Calibri" w:cs="Calibri" w:eastAsia="Calibri" w:hAnsi="Calibri"/>
          <w:b/>
          <w:bCs/>
          <w:color w:val="1F4E79"/>
          <w:sz w:val="25"/>
          <w:szCs w:val="25"/>
        </w:rPr>
        <w:t xml:space="preserve">Cross-facultad (el mercado más universal)</w:t>
      </w:r>
    </w:p>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2500"/>
        <w:gridCol w:w="3400"/>
        <w:gridCol w:w="1900"/>
        <w:gridCol w:w="1560"/>
      </w:tblGrid>
      <w:tr>
        <w:trPr>
          <w:tblHeader/>
        </w:trPr>
        <w:tc>
          <w:tcPr>
            <w:tcW w:type="dxa" w:w="25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Idea</w:t>
            </w:r>
          </w:p>
        </w:tc>
        <w:tc>
          <w:tcPr>
            <w:tcW w:type="dxa" w:w="34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Dolor que resuelve</w:t>
            </w:r>
          </w:p>
        </w:tc>
        <w:tc>
          <w:tcPr>
            <w:tcW w:type="dxa" w:w="19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Tu materia</w:t>
            </w:r>
          </w:p>
        </w:tc>
        <w:tc>
          <w:tcPr>
            <w:tcW w:type="dxa" w:w="15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Skills</w:t>
            </w:r>
          </w:p>
        </w:tc>
      </w:tr>
      <w:tr>
        <w:tc>
          <w:tcPr>
            <w:tcW w:type="dxa" w:w="25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 Asistente de estadística para tesis</w:t>
            </w:r>
          </w:p>
        </w:tc>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Toda tesis necesita estadística; casi nadie sabe qué test usar. Alto riesgo → alta disposición a pagar.</w:t>
            </w:r>
          </w:p>
        </w:tc>
        <w:tc>
          <w:tcPr>
            <w:tcW w:type="dxa" w:w="19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Estadística para Bioinformática</w:t>
            </w:r>
          </w:p>
        </w:tc>
        <w:tc>
          <w:tcPr>
            <w:tcW w:type="dxa" w:w="15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Python (scipy) · FastAPI · frontend · LLM</w:t>
            </w:r>
          </w:p>
        </w:tc>
      </w:tr>
      <w:tr>
        <w:tc>
          <w:tcPr>
            <w:tcW w:type="dxa" w:w="25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Asistente de escritura/formato de tesis</w:t>
            </w:r>
          </w:p>
        </w:tc>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Formatear (APA/Vancouver) y pulir es tedioso y universal.</w:t>
            </w:r>
          </w:p>
        </w:tc>
        <w:tc>
          <w:tcPr>
            <w:tcW w:type="dxa" w:w="19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(transversal)</w:t>
            </w:r>
          </w:p>
        </w:tc>
        <w:tc>
          <w:tcPr>
            <w:tcW w:type="dxa" w:w="15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LLM · FastAPI · frontend</w:t>
            </w:r>
          </w:p>
        </w:tc>
      </w:tr>
    </w:tbl>
    <w:p>
      <w:pPr>
        <w:pStyle w:val="Heading2"/>
        <w:spacing w:after="100" w:before="260"/>
      </w:pPr>
      <w:r>
        <w:rPr>
          <w:rFonts w:ascii="Calibri" w:cs="Calibri" w:eastAsia="Calibri" w:hAnsi="Calibri"/>
          <w:b/>
          <w:bCs/>
          <w:color w:val="1F4E79"/>
          <w:sz w:val="25"/>
          <w:szCs w:val="25"/>
        </w:rPr>
        <w:t xml:space="preserve">Enfermería / Medicina (la fortaleza de tu universidad)</w:t>
      </w:r>
    </w:p>
    <w:tbl>
      <w:tblPr>
        <w:tblW w:type="dxa" w:w="9360"/>
        <w:tblBorders>
          <w:top w:val="single" w:color="F7E9E8" w:sz="2"/>
          <w:left w:val="single" w:color="9E2B25" w:sz="30"/>
          <w:bottom w:val="single" w:color="F7E9E8" w:sz="2"/>
          <w:right w:val="single" w:color="F7E9E8" w:sz="2"/>
          <w:insideH w:val="single" w:color="auto" w:sz="4"/>
          <w:insideV w:val="single" w:color="auto" w:sz="4"/>
        </w:tblBorders>
      </w:tblPr>
      <w:tblGrid>
        <w:gridCol w:w="9360"/>
      </w:tblGrid>
      <w:tr>
        <w:tc>
          <w:tcPr>
            <w:tcW w:type="dxa" w:w="9360"/>
            <w:shd w:fill="F7E9E8" w:color="auto" w:val="clear"/>
            <w:tcMar>
              <w:top w:type="dxa" w:w="120"/>
              <w:left w:type="dxa" w:w="200"/>
              <w:bottom w:type="dxa" w:w="120"/>
              <w:right w:type="dxa" w:w="160"/>
            </w:tcMar>
          </w:tcPr>
          <w:p>
            <w:pPr>
              <w:spacing w:after="60"/>
            </w:pPr>
            <w:r>
              <w:rPr>
                <w:rFonts w:ascii="Calibri" w:cs="Calibri" w:eastAsia="Calibri" w:hAnsi="Calibri"/>
                <w:b/>
                <w:bCs/>
                <w:caps/>
                <w:color w:val="9E2B25"/>
                <w:sz w:val="20"/>
                <w:szCs w:val="20"/>
              </w:rPr>
              <w:t xml:space="preserve">Nota ética y legal (importante)</w:t>
            </w:r>
          </w:p>
          <w:p>
            <w:pPr>
              <w:spacing w:after="40" w:line="264"/>
            </w:pPr>
            <w:r>
              <w:rPr>
                <w:rFonts w:ascii="Calibri" w:cs="Calibri" w:eastAsia="Calibri" w:hAnsi="Calibri"/>
                <w:b/>
                <w:bCs/>
                <w:i w:val="false"/>
                <w:iCs w:val="false"/>
                <w:caps w:val="false"/>
                <w:color w:val="222222"/>
                <w:sz w:val="21"/>
                <w:szCs w:val="21"/>
              </w:rPr>
              <w:t xml:space="preserve">Enmárcalo siempre como herramienta de estudio/entrenamiento, nunca para decisiones clínicas con pacientes reales. </w:t>
            </w:r>
            <w:r>
              <w:rPr>
                <w:rFonts w:ascii="Calibri" w:cs="Calibri" w:eastAsia="Calibri" w:hAnsi="Calibri"/>
                <w:b w:val="false"/>
                <w:bCs w:val="false"/>
                <w:i w:val="false"/>
                <w:iCs w:val="false"/>
                <w:caps w:val="false"/>
                <w:color w:val="222222"/>
                <w:sz w:val="21"/>
                <w:szCs w:val="21"/>
              </w:rPr>
              <w:t xml:space="preserve">Eso te protege de responsabilidad y es lo correcto. Un simulador que enseña ≠ una herramienta que diagnostica.</w:t>
            </w:r>
          </w:p>
        </w:tc>
      </w:tr>
    </w:tbl>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2500"/>
        <w:gridCol w:w="3100"/>
        <w:gridCol w:w="2200"/>
        <w:gridCol w:w="1560"/>
      </w:tblGrid>
      <w:tr>
        <w:trPr>
          <w:tblHeader/>
        </w:trPr>
        <w:tc>
          <w:tcPr>
            <w:tcW w:type="dxa" w:w="25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Idea</w:t>
            </w:r>
          </w:p>
        </w:tc>
        <w:tc>
          <w:tcPr>
            <w:tcW w:type="dxa" w:w="31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Dolor</w:t>
            </w:r>
          </w:p>
        </w:tc>
        <w:tc>
          <w:tcPr>
            <w:tcW w:type="dxa" w:w="22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Tu materia</w:t>
            </w:r>
          </w:p>
        </w:tc>
        <w:tc>
          <w:tcPr>
            <w:tcW w:type="dxa" w:w="15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Skills</w:t>
            </w:r>
          </w:p>
        </w:tc>
      </w:tr>
      <w:tr>
        <w:tc>
          <w:tcPr>
            <w:tcW w:type="dxa" w:w="25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Prep adaptativo + generador de casos/quizzes</w:t>
            </w:r>
          </w:p>
        </w:tc>
        <w:tc>
          <w:tcPr>
            <w:tcW w:type="dxa" w:w="31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Los estudiantes de salud SÍ pagan por prep de exámenes (validado).</w:t>
            </w:r>
          </w:p>
        </w:tc>
        <w:tc>
          <w:tcPr>
            <w:tcW w:type="dxa" w:w="22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Diagnóstico Molecular · Inmunología · Microbiología</w:t>
            </w:r>
          </w:p>
        </w:tc>
        <w:tc>
          <w:tcPr>
            <w:tcW w:type="dxa" w:w="15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LLM · DB (repetición espaciada) · frontend</w:t>
            </w:r>
          </w:p>
        </w:tc>
      </w:tr>
      <w:tr>
        <w:tc>
          <w:tcPr>
            <w:tcW w:type="dxa" w:w="25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Constructor de planes de cuidado asistido</w:t>
            </w:r>
          </w:p>
        </w:tc>
        <w:tc>
          <w:tcPr>
            <w:tcW w:type="dxa" w:w="31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Los care plans consumen horas; dolor recurrente.</w:t>
            </w:r>
          </w:p>
        </w:tc>
        <w:tc>
          <w:tcPr>
            <w:tcW w:type="dxa" w:w="22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(salud)</w:t>
            </w:r>
          </w:p>
        </w:tc>
        <w:tc>
          <w:tcPr>
            <w:tcW w:type="dxa" w:w="15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LLM · plantillas · frontend</w:t>
            </w:r>
          </w:p>
        </w:tc>
      </w:tr>
      <w:tr>
        <w:tc>
          <w:tcPr>
            <w:tcW w:type="dxa" w:w="25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Simulador de dosificación (entrenamiento)</w:t>
            </w:r>
          </w:p>
        </w:tc>
        <w:tc>
          <w:tcPr>
            <w:tcW w:type="dxa" w:w="31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Practicar cálculos y decisiones con feedback, sin riesgo.</w:t>
            </w:r>
          </w:p>
        </w:tc>
        <w:tc>
          <w:tcPr>
            <w:tcW w:type="dxa" w:w="22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(farmacología)</w:t>
            </w:r>
          </w:p>
        </w:tc>
        <w:tc>
          <w:tcPr>
            <w:tcW w:type="dxa" w:w="15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Python · frontend · casos</w:t>
            </w:r>
          </w:p>
        </w:tc>
      </w:tr>
    </w:tbl>
    <w:p>
      <w:pPr>
        <w:pStyle w:val="Heading2"/>
        <w:spacing w:after="100" w:before="260"/>
      </w:pPr>
      <w:r>
        <w:rPr>
          <w:rFonts w:ascii="Calibri" w:cs="Calibri" w:eastAsia="Calibri" w:hAnsi="Calibri"/>
          <w:b/>
          <w:bCs/>
          <w:color w:val="1F4E79"/>
          <w:sz w:val="25"/>
          <w:szCs w:val="25"/>
        </w:rPr>
        <w:t xml:space="preserve">Biotecnología, Agro, Ambiental y Alimentos (otras facultades)</w:t>
      </w:r>
    </w:p>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3400"/>
        <w:gridCol w:w="3400"/>
        <w:gridCol w:w="2560"/>
      </w:tblGrid>
      <w:tr>
        <w:trPr>
          <w:tblHeader/>
        </w:trPr>
        <w:tc>
          <w:tcPr>
            <w:tcW w:type="dxa" w:w="34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Idea</w:t>
            </w:r>
          </w:p>
        </w:tc>
        <w:tc>
          <w:tcPr>
            <w:tcW w:type="dxa" w:w="34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Tu materia</w:t>
            </w:r>
          </w:p>
        </w:tc>
        <w:tc>
          <w:tcPr>
            <w:tcW w:type="dxa" w:w="25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Skills</w:t>
            </w:r>
          </w:p>
        </w:tc>
      </w:tr>
      <w:tr>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Toolkit de biología molecular</w:t>
            </w:r>
          </w:p>
        </w:tc>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Ingeniería Genética · Genómica</w:t>
            </w:r>
          </w:p>
        </w:tc>
        <w:tc>
          <w:tcPr>
            <w:tcW w:type="dxa" w:w="25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Biopython · FastAPI · Docker · cloud</w:t>
            </w:r>
          </w:p>
        </w:tc>
      </w:tr>
      <w:tr>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Modelador de bioprocesos / cinética de cultivos</w:t>
            </w:r>
          </w:p>
        </w:tc>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Bioprocesos · Microbiología Industrial</w:t>
            </w:r>
          </w:p>
        </w:tc>
        <w:tc>
          <w:tcPr>
            <w:tcW w:type="dxa" w:w="25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Python (scipy) · gráficos · FastAPI</w:t>
            </w:r>
          </w:p>
        </w:tc>
      </w:tr>
      <w:tr>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Calculadoras agro (dosis, índice de enfermedad)</w:t>
            </w:r>
          </w:p>
        </w:tc>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Fund. Agronomía y Fitopatología · Biotec. Agrícola</w:t>
            </w:r>
          </w:p>
        </w:tc>
        <w:tc>
          <w:tcPr>
            <w:tcW w:type="dxa" w:w="25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Python · FastAPI · frontend</w:t>
            </w:r>
          </w:p>
        </w:tc>
      </w:tr>
      <w:tr>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Calculadoras de ciencia de alimentos</w:t>
            </w:r>
          </w:p>
        </w:tc>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Microbiología Industrial · Bioprocesos</w:t>
            </w:r>
          </w:p>
        </w:tc>
        <w:tc>
          <w:tcPr>
            <w:tcW w:type="dxa" w:w="25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Python · FastAPI</w:t>
            </w:r>
          </w:p>
        </w:tc>
      </w:tr>
      <w:tr>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Índices ambientales (calidad de agua, biorremediación)</w:t>
            </w:r>
          </w:p>
        </w:tc>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Biotecnología Ambiental</w:t>
            </w:r>
          </w:p>
        </w:tc>
        <w:tc>
          <w:tcPr>
            <w:tcW w:type="dxa" w:w="25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Python · FastAPI</w:t>
            </w:r>
          </w:p>
        </w:tc>
      </w:tr>
    </w:tbl>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3 · El flagship recomendado: asistente de estadística para tesis</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Si tuviera que apostar por uno para tu ecosistema, es este. Un asistente web donde el estudiante sube sus datos, la herramienta lo guía a elegir el test estadístico correcto, lo corre, y le explica el resultado en lenguaje claro — con un reporte exportable para anexar a la tesis.</w:t>
      </w:r>
    </w:p>
    <w:p>
      <w:pPr>
        <w:pStyle w:val="Heading3"/>
        <w:spacing w:after="70" w:before="180"/>
      </w:pPr>
      <w:r>
        <w:rPr>
          <w:rFonts w:ascii="Calibri" w:cs="Calibri" w:eastAsia="Calibri" w:hAnsi="Calibri"/>
          <w:b/>
          <w:bCs/>
          <w:color w:val="0E7C7B"/>
          <w:sz w:val="22"/>
          <w:szCs w:val="22"/>
        </w:rPr>
        <w:t xml:space="preserve">Por qué gana en tu entorno</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Dolor universal y transversal: </w:t>
      </w:r>
      <w:r>
        <w:rPr>
          <w:rFonts w:ascii="Calibri" w:cs="Calibri" w:eastAsia="Calibri" w:hAnsi="Calibri"/>
          <w:b w:val="false"/>
          <w:bCs w:val="false"/>
          <w:i w:val="false"/>
          <w:iCs w:val="false"/>
          <w:caps w:val="false"/>
          <w:color w:val="222222"/>
          <w:sz w:val="21"/>
          <w:szCs w:val="21"/>
        </w:rPr>
        <w:t xml:space="preserve">toda facultad hace tesis, y la estadística es el cuello de botella más temido. Enfermería, agronomía, alimentos, ambiental, tu propia carrera — todos son tu mercado.</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Alta disposición a pagar: </w:t>
      </w:r>
      <w:r>
        <w:rPr>
          <w:rFonts w:ascii="Calibri" w:cs="Calibri" w:eastAsia="Calibri" w:hAnsi="Calibri"/>
          <w:b w:val="false"/>
          <w:bCs w:val="false"/>
          <w:i w:val="false"/>
          <w:iCs w:val="false"/>
          <w:caps w:val="false"/>
          <w:color w:val="222222"/>
          <w:sz w:val="21"/>
          <w:szCs w:val="21"/>
        </w:rPr>
        <w:t xml:space="preserve">la tesis es de alto riesgo (te gradúas o no). La gente paga por reducir ese riesgo y ahorrar horas de angustia.</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Usa tu materia: </w:t>
      </w:r>
      <w:r>
        <w:rPr>
          <w:rFonts w:ascii="Calibri" w:cs="Calibri" w:eastAsia="Calibri" w:hAnsi="Calibri"/>
          <w:b w:val="false"/>
          <w:bCs w:val="false"/>
          <w:i w:val="false"/>
          <w:iCs w:val="false"/>
          <w:caps w:val="false"/>
          <w:color w:val="222222"/>
          <w:sz w:val="21"/>
          <w:szCs w:val="21"/>
        </w:rPr>
        <w:t xml:space="preserve">Estadística para Bioinformática es tu conocimiento de dominio aquí. Sabes por qué un test u otro, y eso se nota en la calidad.</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Practica el stack contratable: </w:t>
      </w:r>
      <w:r>
        <w:rPr>
          <w:rFonts w:ascii="Calibri" w:cs="Calibri" w:eastAsia="Calibri" w:hAnsi="Calibri"/>
          <w:b w:val="false"/>
          <w:bCs w:val="false"/>
          <w:i w:val="false"/>
          <w:iCs w:val="false"/>
          <w:caps w:val="false"/>
          <w:color w:val="222222"/>
          <w:sz w:val="21"/>
          <w:szCs w:val="21"/>
        </w:rPr>
        <w:t xml:space="preserve">Python (scipy/statsmodels), FastAPI, frontend y LLM para las explicaciones. Justo lo que el mercado laboral pide.</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Validación a un pasillo: </w:t>
      </w:r>
      <w:r>
        <w:rPr>
          <w:rFonts w:ascii="Calibri" w:cs="Calibri" w:eastAsia="Calibri" w:hAnsi="Calibri"/>
          <w:b w:val="false"/>
          <w:bCs w:val="false"/>
          <w:i w:val="false"/>
          <w:iCs w:val="false"/>
          <w:caps w:val="false"/>
          <w:color w:val="222222"/>
          <w:sz w:val="21"/>
          <w:szCs w:val="21"/>
        </w:rPr>
        <w:t xml:space="preserve">puedes mostrárselo a compañeros de otras facultades esta misma semana y ver si lo usarían.</w:t>
      </w:r>
    </w:p>
    <w:tbl>
      <w:tblPr>
        <w:tblW w:type="dxa" w:w="9360"/>
        <w:tblBorders>
          <w:top w:val="single" w:color="FBF4E4" w:sz="2"/>
          <w:left w:val="single" w:color="B8860B" w:sz="30"/>
          <w:bottom w:val="single" w:color="FBF4E4" w:sz="2"/>
          <w:right w:val="single" w:color="FBF4E4" w:sz="2"/>
          <w:insideH w:val="single" w:color="auto" w:sz="4"/>
          <w:insideV w:val="single" w:color="auto" w:sz="4"/>
        </w:tblBorders>
      </w:tblPr>
      <w:tblGrid>
        <w:gridCol w:w="9360"/>
      </w:tblGrid>
      <w:tr>
        <w:tc>
          <w:tcPr>
            <w:tcW w:type="dxa" w:w="9360"/>
            <w:shd w:fill="FBF4E4" w:color="auto" w:val="clear"/>
            <w:tcMar>
              <w:top w:type="dxa" w:w="120"/>
              <w:left w:type="dxa" w:w="200"/>
              <w:bottom w:type="dxa" w:w="120"/>
              <w:right w:type="dxa" w:w="160"/>
            </w:tcMar>
          </w:tcPr>
          <w:p>
            <w:pPr>
              <w:spacing w:after="60"/>
            </w:pPr>
            <w:r>
              <w:rPr>
                <w:rFonts w:ascii="Calibri" w:cs="Calibri" w:eastAsia="Calibri" w:hAnsi="Calibri"/>
                <w:b/>
                <w:bCs/>
                <w:caps/>
                <w:color w:val="B8860B"/>
                <w:sz w:val="20"/>
                <w:szCs w:val="20"/>
              </w:rPr>
              <w:t xml:space="preserve">Alcance de la v1 (empieza minúsculo)</w:t>
            </w:r>
          </w:p>
          <w:p>
            <w:pPr>
              <w:spacing w:after="40" w:line="264"/>
            </w:pPr>
            <w:r>
              <w:rPr>
                <w:rFonts w:ascii="Calibri" w:cs="Calibri" w:eastAsia="Calibri" w:hAnsi="Calibri"/>
                <w:b w:val="false"/>
                <w:bCs w:val="false"/>
                <w:i w:val="false"/>
                <w:iCs w:val="false"/>
                <w:caps w:val="false"/>
                <w:color w:val="222222"/>
                <w:sz w:val="21"/>
                <w:szCs w:val="21"/>
              </w:rPr>
              <w:t xml:space="preserve">UNA cosa excelente: “subes tu CSV → te digo qué test usar y por qué → lo corro → te lo explico”. NADA de cuentas ni pagos ni gráficos aún. Cuando 5 personas lo usen y vuelvan, añades el reporte PDF, luego la explicación con IA, luego el modo docente. Cada paso está en el Registro de Valor.</w:t>
            </w:r>
          </w:p>
        </w:tc>
      </w:tr>
    </w:tbl>
    <w:p>
      <w:pPr>
        <w:pStyle w:val="Heading1"/>
        <w:pBdr>
          <w:bottom w:val="single" w:color="0E7C7B" w:sz="12" w:space="6"/>
        </w:pBdr>
        <w:spacing w:after="140" w:before="320"/>
      </w:pPr>
      <w:r>
        <w:rPr>
          <w:rFonts w:ascii="Calibri" w:cs="Calibri" w:eastAsia="Calibri" w:hAnsi="Calibri"/>
          <w:b/>
          <w:bCs/>
          <w:color w:val="12324F"/>
          <w:sz w:val="30"/>
          <w:szCs w:val="30"/>
        </w:rPr>
        <w:t xml:space="preserve">4 · La filosofía de precio: valor, no esfuerzo</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Aquí está el corazón de lo que pediste: un precio que empieza en $0 y crece con cada cosa que construyes, hasta un valor justificado. La regla que lo gobierna todo:</w:t>
      </w:r>
    </w:p>
    <w:tbl>
      <w:tblPr>
        <w:tblW w:type="dxa" w:w="9360"/>
        <w:tblBorders>
          <w:top w:val="single" w:color="E4F1F1" w:sz="2"/>
          <w:left w:val="single" w:color="0E7C7B" w:sz="30"/>
          <w:bottom w:val="single" w:color="E4F1F1" w:sz="2"/>
          <w:right w:val="single" w:color="E4F1F1" w:sz="2"/>
          <w:insideH w:val="single" w:color="auto" w:sz="4"/>
          <w:insideV w:val="single" w:color="auto" w:sz="4"/>
        </w:tblBorders>
      </w:tblPr>
      <w:tblGrid>
        <w:gridCol w:w="9360"/>
      </w:tblGrid>
      <w:tr>
        <w:tc>
          <w:tcPr>
            <w:tcW w:type="dxa" w:w="9360"/>
            <w:shd w:fill="E4F1F1" w:color="auto" w:val="clear"/>
            <w:tcMar>
              <w:top w:type="dxa" w:w="120"/>
              <w:left w:type="dxa" w:w="200"/>
              <w:bottom w:type="dxa" w:w="120"/>
              <w:right w:type="dxa" w:w="160"/>
            </w:tcMar>
          </w:tcPr>
          <w:p>
            <w:pPr>
              <w:spacing w:after="40" w:line="264"/>
            </w:pPr>
            <w:r>
              <w:rPr>
                <w:rFonts w:ascii="Calibri" w:cs="Calibri" w:eastAsia="Calibri" w:hAnsi="Calibri"/>
                <w:b/>
                <w:bCs/>
                <w:i w:val="false"/>
                <w:iCs w:val="false"/>
                <w:caps w:val="false"/>
                <w:color w:val="222222"/>
                <w:sz w:val="21"/>
                <w:szCs w:val="21"/>
              </w:rPr>
              <w:t xml:space="preserve">El precio no es lo que te costó construir; es lo que le AHORRAS al usuario. </w:t>
            </w:r>
            <w:r>
              <w:rPr>
                <w:rFonts w:ascii="Calibri" w:cs="Calibri" w:eastAsia="Calibri" w:hAnsi="Calibri"/>
                <w:b w:val="false"/>
                <w:bCs w:val="false"/>
                <w:i w:val="false"/>
                <w:iCs w:val="false"/>
                <w:caps w:val="false"/>
                <w:color w:val="222222"/>
                <w:sz w:val="21"/>
                <w:szCs w:val="21"/>
              </w:rPr>
              <w:t xml:space="preserve">Si tu herramienta le ahorra a un tesista 3 horas de angustia estadística, eso vale mucho más que los $2/mes que cobras. Esa brecha —valor entregado ≫ precio— es lo que hace que pagar se sienta una ganga y que te compren sin dudar.</w:t>
            </w:r>
          </w:p>
        </w:tc>
      </w:tr>
    </w:tbl>
    <w:p>
      <w:pPr>
        <w:pStyle w:val="Heading3"/>
        <w:spacing w:after="70" w:before="180"/>
      </w:pPr>
      <w:r>
        <w:rPr>
          <w:rFonts w:ascii="Calibri" w:cs="Calibri" w:eastAsia="Calibri" w:hAnsi="Calibri"/>
          <w:b/>
          <w:bCs/>
          <w:color w:val="0E7C7B"/>
          <w:sz w:val="22"/>
          <w:szCs w:val="22"/>
        </w:rPr>
        <w:t xml:space="preserve">Cómo crece el precio desde $0</w:t>
      </w:r>
    </w:p>
    <w:p>
      <w:pPr>
        <w:pStyle w:val="ListParagraph"/>
        <w:numPr>
          <w:ilvl w:val="0"/>
          <w:numId w:val="3"/>
        </w:numPr>
        <w:spacing w:after="60" w:line="268"/>
      </w:pPr>
      <w:r>
        <w:rPr>
          <w:rFonts w:ascii="Calibri" w:cs="Calibri" w:eastAsia="Calibri" w:hAnsi="Calibri"/>
          <w:b/>
          <w:bCs/>
          <w:i w:val="false"/>
          <w:iCs w:val="false"/>
          <w:caps w:val="false"/>
          <w:color w:val="222222"/>
          <w:sz w:val="21"/>
          <w:szCs w:val="21"/>
        </w:rPr>
        <w:t xml:space="preserve">Empiezas gratis. </w:t>
      </w:r>
      <w:r>
        <w:rPr>
          <w:rFonts w:ascii="Calibri" w:cs="Calibri" w:eastAsia="Calibri" w:hAnsi="Calibri"/>
          <w:b w:val="false"/>
          <w:bCs w:val="false"/>
          <w:i w:val="false"/>
          <w:iCs w:val="false"/>
          <w:caps w:val="false"/>
          <w:color w:val="222222"/>
          <w:sz w:val="21"/>
          <w:szCs w:val="21"/>
        </w:rPr>
        <w:t xml:space="preserve">No hay nada construido, así que no cobras. Lo gratis atrae usuarios y confianza — tu materia prima.</w:t>
      </w:r>
    </w:p>
    <w:p>
      <w:pPr>
        <w:pStyle w:val="ListParagraph"/>
        <w:numPr>
          <w:ilvl w:val="0"/>
          <w:numId w:val="3"/>
        </w:numPr>
        <w:spacing w:after="60" w:line="268"/>
      </w:pPr>
      <w:r>
        <w:rPr>
          <w:rFonts w:ascii="Calibri" w:cs="Calibri" w:eastAsia="Calibri" w:hAnsi="Calibri"/>
          <w:b/>
          <w:bCs/>
          <w:i w:val="false"/>
          <w:iCs w:val="false"/>
          <w:caps w:val="false"/>
          <w:color w:val="222222"/>
          <w:sz w:val="21"/>
          <w:szCs w:val="21"/>
        </w:rPr>
        <w:t xml:space="preserve">Cada commit aporta valor. </w:t>
      </w:r>
      <w:r>
        <w:rPr>
          <w:rFonts w:ascii="Calibri" w:cs="Calibri" w:eastAsia="Calibri" w:hAnsi="Calibri"/>
          <w:b w:val="false"/>
          <w:bCs w:val="false"/>
          <w:i w:val="false"/>
          <w:iCs w:val="false"/>
          <w:caps w:val="false"/>
          <w:color w:val="222222"/>
          <w:sz w:val="21"/>
          <w:szCs w:val="21"/>
        </w:rPr>
        <w:t xml:space="preserve">Cada feature suma un “valor mensual justificado” (de milésimas a décimas de dólar) que se acumula.</w:t>
      </w:r>
    </w:p>
    <w:p>
      <w:pPr>
        <w:pStyle w:val="ListParagraph"/>
        <w:numPr>
          <w:ilvl w:val="0"/>
          <w:numId w:val="3"/>
        </w:numPr>
        <w:spacing w:after="60" w:line="268"/>
      </w:pPr>
      <w:r>
        <w:rPr>
          <w:rFonts w:ascii="Calibri" w:cs="Calibri" w:eastAsia="Calibri" w:hAnsi="Calibri"/>
          <w:b/>
          <w:bCs/>
          <w:i w:val="false"/>
          <w:iCs w:val="false"/>
          <w:caps w:val="false"/>
          <w:color w:val="222222"/>
          <w:sz w:val="21"/>
          <w:szCs w:val="21"/>
        </w:rPr>
        <w:t xml:space="preserve">El acumulado desbloquea tiers. </w:t>
      </w:r>
      <w:r>
        <w:rPr>
          <w:rFonts w:ascii="Calibri" w:cs="Calibri" w:eastAsia="Calibri" w:hAnsi="Calibri"/>
          <w:b w:val="false"/>
          <w:bCs w:val="false"/>
          <w:i w:val="false"/>
          <w:iCs w:val="false"/>
          <w:caps w:val="false"/>
          <w:color w:val="222222"/>
          <w:sz w:val="21"/>
          <w:szCs w:val="21"/>
        </w:rPr>
        <w:t xml:space="preserve">Cuando cruza un umbral, pasas de Gratis a Básico, a Pro, a Institucional. El precio nunca es arbitrario.</w:t>
      </w:r>
    </w:p>
    <w:p>
      <w:pPr>
        <w:pStyle w:val="ListParagraph"/>
        <w:numPr>
          <w:ilvl w:val="0"/>
          <w:numId w:val="3"/>
        </w:numPr>
        <w:spacing w:after="60" w:line="268"/>
      </w:pPr>
      <w:r>
        <w:rPr>
          <w:rFonts w:ascii="Calibri" w:cs="Calibri" w:eastAsia="Calibri" w:hAnsi="Calibri"/>
          <w:b/>
          <w:bCs/>
          <w:i w:val="false"/>
          <w:iCs w:val="false"/>
          <w:caps w:val="false"/>
          <w:color w:val="222222"/>
          <w:sz w:val="21"/>
          <w:szCs w:val="21"/>
        </w:rPr>
        <w:t xml:space="preserve">Ecuador = Internacional. </w:t>
      </w:r>
      <w:r>
        <w:rPr>
          <w:rFonts w:ascii="Calibri" w:cs="Calibri" w:eastAsia="Calibri" w:hAnsi="Calibri"/>
          <w:b w:val="false"/>
          <w:bCs w:val="false"/>
          <w:i w:val="false"/>
          <w:iCs w:val="false"/>
          <w:caps w:val="false"/>
          <w:color w:val="222222"/>
          <w:sz w:val="21"/>
          <w:szCs w:val="21"/>
        </w:rPr>
        <w:t xml:space="preserve">Ecuador usa el dólar: tu precio en USD es el mismo local y afuera. Un precio pensado para Ecuador se lee barato internacionalmente — reduce fricción, es tu ventaja.</w:t>
      </w:r>
    </w:p>
    <w:p>
      <w:pPr>
        <w:pStyle w:val="ListParagraph"/>
        <w:numPr>
          <w:ilvl w:val="0"/>
          <w:numId w:val="3"/>
        </w:numPr>
        <w:spacing w:after="60" w:line="268"/>
      </w:pPr>
      <w:r>
        <w:rPr>
          <w:rFonts w:ascii="Calibri" w:cs="Calibri" w:eastAsia="Calibri" w:hAnsi="Calibri"/>
          <w:b/>
          <w:bCs/>
          <w:i w:val="false"/>
          <w:iCs w:val="false"/>
          <w:caps w:val="false"/>
          <w:color w:val="222222"/>
          <w:sz w:val="21"/>
          <w:szCs w:val="21"/>
        </w:rPr>
        <w:t xml:space="preserve">Subes cuando el valor lo respalda. </w:t>
      </w:r>
      <w:r>
        <w:rPr>
          <w:rFonts w:ascii="Calibri" w:cs="Calibri" w:eastAsia="Calibri" w:hAnsi="Calibri"/>
          <w:b w:val="false"/>
          <w:bCs w:val="false"/>
          <w:i w:val="false"/>
          <w:iCs w:val="false"/>
          <w:caps w:val="false"/>
          <w:color w:val="222222"/>
          <w:sz w:val="21"/>
          <w:szCs w:val="21"/>
        </w:rPr>
        <w:t xml:space="preserve">No por capricho, sino cuando cruzas un umbral, los usuarios repiten, o agregas una feature que ahorra tiempo real.</w:t>
      </w:r>
    </w:p>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5 · El modelo de valor (tu Excel)</w:t>
      </w:r>
    </w:p>
    <w:p>
      <w:pPr>
        <w:spacing w:after="40" w:before="0" w:line="276"/>
        <w:jc w:val="both"/>
      </w:pPr>
      <w:r>
        <w:rPr>
          <w:rFonts w:ascii="Calibri" w:cs="Calibri" w:eastAsia="Calibri" w:hAnsi="Calibri"/>
          <w:b w:val="false"/>
          <w:bCs w:val="false"/>
          <w:i w:val="false"/>
          <w:iCs w:val="false"/>
          <w:caps w:val="false"/>
          <w:color w:val="222222"/>
          <w:sz w:val="21"/>
          <w:szCs w:val="21"/>
        </w:rPr>
        <w:t xml:space="preserve">Convertí esta filosofía en una herramienta concreta: </w:t>
      </w:r>
    </w:p>
    <w:p>
      <w:pPr>
        <w:spacing w:after="100" w:before="0" w:line="276"/>
        <w:jc w:val="both"/>
      </w:pPr>
      <w:r>
        <w:rPr>
          <w:rFonts w:ascii="Calibri" w:cs="Calibri" w:eastAsia="Calibri" w:hAnsi="Calibri"/>
          <w:b w:val="false"/>
          <w:bCs w:val="false"/>
          <w:i w:val="false"/>
          <w:iCs w:val="false"/>
          <w:caps w:val="false"/>
          <w:color w:val="222222"/>
          <w:sz w:val="21"/>
          <w:szCs w:val="21"/>
        </w:rPr>
        <w:t xml:space="preserve">Taller_MVP/Modelo_de_Valor/Modelo_de_Valor_y_Precio.xlsx</w:t>
      </w:r>
      <w:r>
        <w:rPr>
          <w:rFonts w:ascii="Consolas" w:cs="Consolas" w:eastAsia="Consolas" w:hAnsi="Consolas"/>
          <w:b w:val="false"/>
          <w:bCs w:val="false"/>
          <w:i w:val="false"/>
          <w:iCs w:val="false"/>
          <w:caps w:val="false"/>
          <w:color w:val="1F4E79"/>
          <w:sz w:val="21"/>
          <w:szCs w:val="21"/>
        </w:rPr>
        <w:t xml:space="preserve">.</w:t>
      </w:r>
      <w:r>
        <w:rPr>
          <w:rFonts w:ascii="Calibri" w:cs="Calibri" w:eastAsia="Calibri" w:hAnsi="Calibri"/>
          <w:b w:val="false"/>
          <w:bCs w:val="false"/>
          <w:i w:val="false"/>
          <w:iCs w:val="false"/>
          <w:caps w:val="false"/>
          <w:color w:val="222222"/>
          <w:sz w:val="21"/>
          <w:szCs w:val="21"/>
        </w:rPr>
        <w:t xml:space="preserve"> Es tu brújula de precio respaldada por evidencia. Cuatro pestañas:</w:t>
      </w:r>
    </w:p>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2400"/>
        <w:gridCol w:w="6960"/>
      </w:tblGrid>
      <w:tr>
        <w:trPr>
          <w:tblHeader/>
        </w:trPr>
        <w:tc>
          <w:tcPr>
            <w:tcW w:type="dxa" w:w="24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Pestaña</w:t>
            </w:r>
          </w:p>
        </w:tc>
        <w:tc>
          <w:tcPr>
            <w:tcW w:type="dxa" w:w="69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Qué hace</w:t>
            </w:r>
          </w:p>
        </w:tc>
      </w:tr>
      <w:tr>
        <w:tc>
          <w:tcPr>
            <w:tcW w:type="dxa" w:w="24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Tiers de Precio</w:t>
            </w:r>
          </w:p>
        </w:tc>
        <w:tc>
          <w:tcPr>
            <w:tcW w:type="dxa" w:w="69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Gratis → Básico ($1.99) → Pro ($4.99) → Institucional ($9.99/usuario). Editas umbrales y precios (celdas amarillas).</w:t>
            </w:r>
          </w:p>
        </w:tc>
      </w:tr>
      <w:tr>
        <w:tc>
          <w:tcPr>
            <w:tcW w:type="dxa" w:w="24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Registro de Valor</w:t>
            </w:r>
          </w:p>
        </w:tc>
        <w:tc>
          <w:tcPr>
            <w:tcW w:type="dxa" w:w="69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El libro mayor: una fila por commit con su aporte ($/mes). Acumulado, tier y precio sugerido se calculan solos. Aquí trabajas a diario.</w:t>
            </w:r>
          </w:p>
        </w:tc>
      </w:tr>
      <w:tr>
        <w:tc>
          <w:tcPr>
            <w:tcW w:type="dxa" w:w="24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Modelo de Crecimiento</w:t>
            </w:r>
          </w:p>
        </w:tc>
        <w:tc>
          <w:tcPr>
            <w:tcW w:type="dxa" w:w="69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Simula tu curva lineal (constante) vs exponencial (efectos de red) editando 3 celdas.</w:t>
            </w:r>
          </w:p>
        </w:tc>
      </w:tr>
      <w:tr>
        <w:tc>
          <w:tcPr>
            <w:tcW w:type="dxa" w:w="24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Cómo usar y cotizar</w:t>
            </w:r>
          </w:p>
        </w:tc>
        <w:tc>
          <w:tcPr>
            <w:tcW w:type="dxa" w:w="69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La filosofía y las reglas para subir precio, dentro del propio archivo.</w:t>
            </w:r>
          </w:p>
        </w:tc>
      </w:tr>
    </w:tbl>
    <w:p>
      <w:pPr>
        <w:spacing w:after="50"/>
      </w:pPr>
    </w:p>
    <w:p>
      <w:pPr>
        <w:spacing w:after="80" w:before="0" w:line="276"/>
        <w:jc w:val="both"/>
      </w:pPr>
      <w:r>
        <w:rPr>
          <w:rFonts w:ascii="Calibri" w:cs="Calibri" w:eastAsia="Calibri" w:hAnsi="Calibri"/>
          <w:b w:val="false"/>
          <w:bCs w:val="false"/>
          <w:i w:val="false"/>
          <w:iCs w:val="false"/>
          <w:caps w:val="false"/>
          <w:color w:val="222222"/>
          <w:sz w:val="21"/>
          <w:szCs w:val="21"/>
        </w:rPr>
        <w:t xml:space="preserve">Lo pre-cargué con el ejemplo del asistente de estadística: verás cómo pasa de $0 (Gratis) a acumular $4.85/mes justificados en diez commits — a un solo feature de desbloquear el tier Pro. Así ves la mecánica con números reales.</w:t>
      </w:r>
    </w:p>
    <w:tbl>
      <w:tblPr>
        <w:tblW w:type="dxa" w:w="9360"/>
        <w:tblBorders>
          <w:top w:val="single" w:color="EEF3F7" w:sz="2"/>
          <w:left w:val="single" w:color="1F4E79" w:sz="30"/>
          <w:bottom w:val="single" w:color="EEF3F7" w:sz="2"/>
          <w:right w:val="single" w:color="EEF3F7" w:sz="2"/>
          <w:insideH w:val="single" w:color="auto" w:sz="4"/>
          <w:insideV w:val="single" w:color="auto" w:sz="4"/>
        </w:tblBorders>
      </w:tblPr>
      <w:tblGrid>
        <w:gridCol w:w="9360"/>
      </w:tblGrid>
      <w:tr>
        <w:tc>
          <w:tcPr>
            <w:tcW w:type="dxa" w:w="9360"/>
            <w:shd w:fill="EEF3F7" w:color="auto" w:val="clear"/>
            <w:tcMar>
              <w:top w:type="dxa" w:w="120"/>
              <w:left w:type="dxa" w:w="200"/>
              <w:bottom w:type="dxa" w:w="120"/>
              <w:right w:type="dxa" w:w="160"/>
            </w:tcMar>
          </w:tcPr>
          <w:p>
            <w:pPr>
              <w:spacing w:after="60"/>
            </w:pPr>
            <w:r>
              <w:rPr>
                <w:rFonts w:ascii="Calibri" w:cs="Calibri" w:eastAsia="Calibri" w:hAnsi="Calibri"/>
                <w:b/>
                <w:bCs/>
                <w:caps/>
                <w:color w:val="1F4E79"/>
                <w:sz w:val="20"/>
                <w:szCs w:val="20"/>
              </w:rPr>
              <w:t xml:space="preserve">Guía de cuánto vale cada commit</w:t>
            </w:r>
          </w:p>
          <w:p>
            <w:pPr>
              <w:spacing w:after="40" w:line="264"/>
            </w:pPr>
            <w:r>
              <w:rPr>
                <w:rFonts w:ascii="Calibri" w:cs="Calibri" w:eastAsia="Calibri" w:hAnsi="Calibri"/>
                <w:b/>
                <w:bCs/>
                <w:i w:val="false"/>
                <w:iCs w:val="false"/>
                <w:caps w:val="false"/>
                <w:color w:val="222222"/>
                <w:sz w:val="21"/>
                <w:szCs w:val="21"/>
              </w:rPr>
              <w:t xml:space="preserve">fix</w:t>
            </w:r>
            <w:r>
              <w:rPr>
                <w:rFonts w:ascii="Calibri" w:cs="Calibri" w:eastAsia="Calibri" w:hAnsi="Calibri"/>
                <w:b w:val="false"/>
                <w:bCs w:val="false"/>
                <w:i w:val="false"/>
                <w:iCs w:val="false"/>
                <w:caps w:val="false"/>
                <w:color w:val="222222"/>
                <w:sz w:val="21"/>
                <w:szCs w:val="21"/>
              </w:rPr>
              <w:t xml:space="preserve"> (0.005–0.05) · </w:t>
            </w:r>
            <w:r>
              <w:rPr>
                <w:rFonts w:ascii="Calibri" w:cs="Calibri" w:eastAsia="Calibri" w:hAnsi="Calibri"/>
                <w:b/>
                <w:bCs/>
                <w:i w:val="false"/>
                <w:iCs w:val="false"/>
                <w:caps w:val="false"/>
                <w:color w:val="222222"/>
                <w:sz w:val="21"/>
                <w:szCs w:val="21"/>
              </w:rPr>
              <w:t xml:space="preserve">feature</w:t>
            </w:r>
            <w:r>
              <w:rPr>
                <w:rFonts w:ascii="Calibri" w:cs="Calibri" w:eastAsia="Calibri" w:hAnsi="Calibri"/>
                <w:b w:val="false"/>
                <w:bCs w:val="false"/>
                <w:i w:val="false"/>
                <w:iCs w:val="false"/>
                <w:caps w:val="false"/>
                <w:color w:val="222222"/>
                <w:sz w:val="21"/>
                <w:szCs w:val="21"/>
              </w:rPr>
              <w:t xml:space="preserve"> (0.10–0.40) · </w:t>
            </w:r>
            <w:r>
              <w:rPr>
                <w:rFonts w:ascii="Calibri" w:cs="Calibri" w:eastAsia="Calibri" w:hAnsi="Calibri"/>
                <w:b/>
                <w:bCs/>
                <w:i w:val="false"/>
                <w:iCs w:val="false"/>
                <w:caps w:val="false"/>
                <w:color w:val="222222"/>
                <w:sz w:val="21"/>
                <w:szCs w:val="21"/>
              </w:rPr>
              <w:t xml:space="preserve">core</w:t>
            </w:r>
            <w:r>
              <w:rPr>
                <w:rFonts w:ascii="Calibri" w:cs="Calibri" w:eastAsia="Calibri" w:hAnsi="Calibri"/>
                <w:b w:val="false"/>
                <w:bCs w:val="false"/>
                <w:i w:val="false"/>
                <w:iCs w:val="false"/>
                <w:caps w:val="false"/>
                <w:color w:val="222222"/>
                <w:sz w:val="21"/>
                <w:szCs w:val="21"/>
              </w:rPr>
              <w:t xml:space="preserve"> (0.40–0.80) · </w:t>
            </w:r>
            <w:r>
              <w:rPr>
                <w:rFonts w:ascii="Calibri" w:cs="Calibri" w:eastAsia="Calibri" w:hAnsi="Calibri"/>
                <w:b/>
                <w:bCs/>
                <w:i w:val="false"/>
                <w:iCs w:val="false"/>
                <w:caps w:val="false"/>
                <w:color w:val="222222"/>
                <w:sz w:val="21"/>
                <w:szCs w:val="21"/>
              </w:rPr>
              <w:t xml:space="preserve">killer</w:t>
            </w:r>
            <w:r>
              <w:rPr>
                <w:rFonts w:ascii="Calibri" w:cs="Calibri" w:eastAsia="Calibri" w:hAnsi="Calibri"/>
                <w:b w:val="false"/>
                <w:bCs w:val="false"/>
                <w:i w:val="false"/>
                <w:iCs w:val="false"/>
                <w:caps w:val="false"/>
                <w:color w:val="222222"/>
                <w:sz w:val="21"/>
                <w:szCs w:val="21"/>
              </w:rPr>
              <w:t xml:space="preserve"> (0.80–2.0) · </w:t>
            </w:r>
            <w:r>
              <w:rPr>
                <w:rFonts w:ascii="Calibri" w:cs="Calibri" w:eastAsia="Calibri" w:hAnsi="Calibri"/>
                <w:b/>
                <w:bCs/>
                <w:i w:val="false"/>
                <w:iCs w:val="false"/>
                <w:caps w:val="false"/>
                <w:color w:val="222222"/>
                <w:sz w:val="21"/>
                <w:szCs w:val="21"/>
              </w:rPr>
              <w:t xml:space="preserve">infra/growth</w:t>
            </w:r>
            <w:r>
              <w:rPr>
                <w:rFonts w:ascii="Calibri" w:cs="Calibri" w:eastAsia="Calibri" w:hAnsi="Calibri"/>
                <w:b w:val="false"/>
                <w:bCs w:val="false"/>
                <w:i w:val="false"/>
                <w:iCs w:val="false"/>
                <w:caps w:val="false"/>
                <w:color w:val="222222"/>
                <w:sz w:val="21"/>
                <w:szCs w:val="21"/>
              </w:rPr>
              <w:t xml:space="preserve"> (según impacto). Un “killer” es algo que ahorra tiempo real (el selector de test, la explicación con IA). Un “fix” es un arreglo menor.</w:t>
            </w:r>
          </w:p>
        </w:tc>
      </w:tr>
    </w:tbl>
    <w:p>
      <w:pPr>
        <w:pStyle w:val="Heading1"/>
        <w:pBdr>
          <w:bottom w:val="single" w:color="0E7C7B" w:sz="12" w:space="6"/>
        </w:pBdr>
        <w:spacing w:after="140" w:before="320"/>
      </w:pPr>
      <w:r>
        <w:rPr>
          <w:rFonts w:ascii="Calibri" w:cs="Calibri" w:eastAsia="Calibri" w:hAnsi="Calibri"/>
          <w:b/>
          <w:bCs/>
          <w:color w:val="12324F"/>
          <w:sz w:val="30"/>
          <w:szCs w:val="30"/>
        </w:rPr>
        <w:t xml:space="preserve">6 · Cómo cotizar valor y cuándo subir el precio</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Reglas prácticas para no venderte barato ni ahuyentar usuarios:</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Valida el precio preguntando, no adivinando. </w:t>
      </w:r>
      <w:r>
        <w:rPr>
          <w:rFonts w:ascii="Calibri" w:cs="Calibri" w:eastAsia="Calibri" w:hAnsi="Calibri"/>
          <w:b w:val="false"/>
          <w:bCs w:val="false"/>
          <w:i w:val="false"/>
          <w:iCs w:val="false"/>
          <w:caps w:val="false"/>
          <w:color w:val="222222"/>
          <w:sz w:val="21"/>
          <w:szCs w:val="21"/>
        </w:rPr>
        <w:t xml:space="preserve">A tus compañeros: “¿pagarías $2/mes por esto? ¿$5?”. Si casi todos dicen sí a $2, tu precio es bajo. Si dudan, ajusta la feature o el precio.</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Sube a los usuarios NUEVOS primero. </w:t>
      </w:r>
      <w:r>
        <w:rPr>
          <w:rFonts w:ascii="Calibri" w:cs="Calibri" w:eastAsia="Calibri" w:hAnsi="Calibri"/>
          <w:b w:val="false"/>
          <w:bCs w:val="false"/>
          <w:i w:val="false"/>
          <w:iCs w:val="false"/>
          <w:caps w:val="false"/>
          <w:color w:val="222222"/>
          <w:sz w:val="21"/>
          <w:szCs w:val="21"/>
        </w:rPr>
        <w:t xml:space="preserve">A los que ya pagan, respétales su precio un tiempo: genera lealtad y voz a voz.</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Cobra por lo que ahorra tiempo, deja gratis lo básico. </w:t>
      </w:r>
      <w:r>
        <w:rPr>
          <w:rFonts w:ascii="Calibri" w:cs="Calibri" w:eastAsia="Calibri" w:hAnsi="Calibri"/>
          <w:b w:val="false"/>
          <w:bCs w:val="false"/>
          <w:i w:val="false"/>
          <w:iCs w:val="false"/>
          <w:caps w:val="false"/>
          <w:color w:val="222222"/>
          <w:sz w:val="21"/>
          <w:szCs w:val="21"/>
        </w:rPr>
        <w:t xml:space="preserve">Lo gratis trae gente; el pago desbloquea lotes, reportes, IA e historial.</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Un “ancla” alta hace ver barato lo tuyo. </w:t>
      </w:r>
      <w:r>
        <w:rPr>
          <w:rFonts w:ascii="Calibri" w:cs="Calibri" w:eastAsia="Calibri" w:hAnsi="Calibri"/>
          <w:b w:val="false"/>
          <w:bCs w:val="false"/>
          <w:i w:val="false"/>
          <w:iCs w:val="false"/>
          <w:caps w:val="false"/>
          <w:color w:val="222222"/>
          <w:sz w:val="21"/>
          <w:szCs w:val="21"/>
        </w:rPr>
        <w:t xml:space="preserve">Si al lado muestras “un estadístico cobra $50 por asesoría de tesis”, tus $4.99/mes se ven una ganga.</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Institucional multiplica. </w:t>
      </w:r>
      <w:r>
        <w:rPr>
          <w:rFonts w:ascii="Calibri" w:cs="Calibri" w:eastAsia="Calibri" w:hAnsi="Calibri"/>
          <w:b w:val="false"/>
          <w:bCs w:val="false"/>
          <w:i w:val="false"/>
          <w:iCs w:val="false"/>
          <w:caps w:val="false"/>
          <w:color w:val="222222"/>
          <w:sz w:val="21"/>
          <w:szCs w:val="21"/>
        </w:rPr>
        <w:t xml:space="preserve">Venderle a un docente para toda su clase (10–30 usuarios) es un salto grande — ahí el valor crece exponencial.</w:t>
      </w:r>
    </w:p>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7 · Bases firmes: la estructura de carpetas</w:t>
      </w:r>
    </w:p>
    <w:p>
      <w:pPr>
        <w:spacing w:after="40" w:before="0" w:line="276"/>
        <w:jc w:val="both"/>
      </w:pPr>
      <w:r>
        <w:rPr>
          <w:rFonts w:ascii="Calibri" w:cs="Calibri" w:eastAsia="Calibri" w:hAnsi="Calibri"/>
          <w:b w:val="false"/>
          <w:bCs w:val="false"/>
          <w:i w:val="false"/>
          <w:iCs w:val="false"/>
          <w:caps w:val="false"/>
          <w:color w:val="222222"/>
          <w:sz w:val="21"/>
          <w:szCs w:val="21"/>
        </w:rPr>
        <w:t xml:space="preserve">Consolidé la estructura fundacional dentro de </w:t>
      </w:r>
    </w:p>
    <w:p>
      <w:pPr>
        <w:spacing w:after="100" w:before="0" w:line="276"/>
        <w:jc w:val="both"/>
      </w:pPr>
      <w:r>
        <w:rPr>
          <w:rFonts w:ascii="Consolas" w:cs="Consolas" w:eastAsia="Consolas" w:hAnsi="Consolas"/>
          <w:b w:val="false"/>
          <w:bCs w:val="false"/>
          <w:i w:val="false"/>
          <w:iCs w:val="false"/>
          <w:caps w:val="false"/>
          <w:color w:val="1F4E79"/>
          <w:sz w:val="21"/>
          <w:szCs w:val="21"/>
        </w:rPr>
        <w:t xml:space="preserve">Taller_MVP/</w:t>
      </w:r>
      <w:r>
        <w:rPr>
          <w:rFonts w:ascii="Calibri" w:cs="Calibri" w:eastAsia="Calibri" w:hAnsi="Calibri"/>
          <w:b w:val="false"/>
          <w:bCs w:val="false"/>
          <w:i w:val="false"/>
          <w:iCs w:val="false"/>
          <w:caps w:val="false"/>
          <w:color w:val="222222"/>
          <w:sz w:val="21"/>
          <w:szCs w:val="21"/>
        </w:rPr>
        <w:t xml:space="preserve"> para que arranques sobre bases sólidas:</w:t>
      </w:r>
    </w:p>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3600"/>
        <w:gridCol w:w="5760"/>
      </w:tblGrid>
      <w:tr>
        <w:trPr>
          <w:tblHeader/>
        </w:trPr>
        <w:tc>
          <w:tcPr>
            <w:tcW w:type="dxa" w:w="36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Carpeta / archivo</w:t>
            </w:r>
          </w:p>
        </w:tc>
        <w:tc>
          <w:tcPr>
            <w:tcW w:type="dxa" w:w="57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Para qué</w:t>
            </w:r>
          </w:p>
        </w:tc>
      </w:tr>
      <w:tr>
        <w:tc>
          <w:tcPr>
            <w:tcW w:type="dxa" w:w="3600"/>
            <w:shd w:fill="FFFFFF" w:color="auto" w:val="clear"/>
            <w:tcMar>
              <w:top w:type="dxa" w:w="50"/>
              <w:left w:type="dxa" w:w="100"/>
              <w:bottom w:type="dxa" w:w="50"/>
              <w:right w:type="dxa" w:w="100"/>
            </w:tcMar>
          </w:tcPr>
          <w:p>
            <w:pPr>
              <w:spacing w:line="254"/>
              <w:jc w:val="left"/>
            </w:pPr>
            <w:r>
              <w:rPr>
                <w:rFonts w:ascii="Consolas" w:cs="Consolas" w:eastAsia="Consolas" w:hAnsi="Consolas"/>
                <w:b w:val="false"/>
                <w:bCs w:val="false"/>
                <w:i w:val="false"/>
                <w:iCs w:val="false"/>
                <w:caps w:val="false"/>
                <w:color w:val="1F4E79"/>
                <w:sz w:val="18"/>
                <w:szCs w:val="18"/>
              </w:rPr>
              <w:t xml:space="preserve">Mercado_Universitario/README.md</w:t>
            </w:r>
          </w:p>
        </w:tc>
        <w:tc>
          <w:tcPr>
            <w:tcW w:type="dxa" w:w="57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El menú completo de ideas por audiencia, editable, mapeado a tus materias.</w:t>
            </w:r>
          </w:p>
        </w:tc>
      </w:tr>
      <w:tr>
        <w:tc>
          <w:tcPr>
            <w:tcW w:type="dxa" w:w="3600"/>
            <w:shd w:fill="F4F7FA" w:color="auto" w:val="clear"/>
            <w:tcMar>
              <w:top w:type="dxa" w:w="50"/>
              <w:left w:type="dxa" w:w="100"/>
              <w:bottom w:type="dxa" w:w="50"/>
              <w:right w:type="dxa" w:w="100"/>
            </w:tcMar>
          </w:tcPr>
          <w:p>
            <w:pPr>
              <w:spacing w:line="254"/>
              <w:jc w:val="left"/>
            </w:pPr>
            <w:r>
              <w:rPr>
                <w:rFonts w:ascii="Consolas" w:cs="Consolas" w:eastAsia="Consolas" w:hAnsi="Consolas"/>
                <w:b w:val="false"/>
                <w:bCs w:val="false"/>
                <w:i w:val="false"/>
                <w:iCs w:val="false"/>
                <w:caps w:val="false"/>
                <w:color w:val="1F4E79"/>
                <w:sz w:val="18"/>
                <w:szCs w:val="18"/>
              </w:rPr>
              <w:t xml:space="preserve">Modelo_de_Valor/…xlsx</w:t>
            </w:r>
          </w:p>
        </w:tc>
        <w:tc>
          <w:tcPr>
            <w:tcW w:type="dxa" w:w="57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El modelo de precio-por-valor (las 4 pestañas). Tu brújula de cotización.</w:t>
            </w:r>
          </w:p>
        </w:tc>
      </w:tr>
      <w:tr>
        <w:tc>
          <w:tcPr>
            <w:tcW w:type="dxa" w:w="3600"/>
            <w:shd w:fill="FFFFFF" w:color="auto" w:val="clear"/>
            <w:tcMar>
              <w:top w:type="dxa" w:w="50"/>
              <w:left w:type="dxa" w:w="100"/>
              <w:bottom w:type="dxa" w:w="50"/>
              <w:right w:type="dxa" w:w="100"/>
            </w:tcMar>
          </w:tcPr>
          <w:p>
            <w:pPr>
              <w:spacing w:line="254"/>
              <w:jc w:val="left"/>
            </w:pPr>
            <w:r>
              <w:rPr>
                <w:rFonts w:ascii="Consolas" w:cs="Consolas" w:eastAsia="Consolas" w:hAnsi="Consolas"/>
                <w:b w:val="false"/>
                <w:bCs w:val="false"/>
                <w:i w:val="false"/>
                <w:iCs w:val="false"/>
                <w:caps w:val="false"/>
                <w:color w:val="1F4E79"/>
                <w:sz w:val="18"/>
                <w:szCs w:val="18"/>
              </w:rPr>
              <w:t xml:space="preserve">Modelo_de_Valor/README.md</w:t>
            </w:r>
          </w:p>
        </w:tc>
        <w:tc>
          <w:tcPr>
            <w:tcW w:type="dxa" w:w="57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Cómo usar el Excel en el día a día.</w:t>
            </w:r>
          </w:p>
        </w:tc>
      </w:tr>
      <w:tr>
        <w:tc>
          <w:tcPr>
            <w:tcW w:type="dxa" w:w="3600"/>
            <w:shd w:fill="F4F7FA" w:color="auto" w:val="clear"/>
            <w:tcMar>
              <w:top w:type="dxa" w:w="50"/>
              <w:left w:type="dxa" w:w="100"/>
              <w:bottom w:type="dxa" w:w="50"/>
              <w:right w:type="dxa" w:w="100"/>
            </w:tcMar>
          </w:tcPr>
          <w:p>
            <w:pPr>
              <w:spacing w:line="254"/>
              <w:jc w:val="left"/>
            </w:pPr>
            <w:r>
              <w:rPr>
                <w:rFonts w:ascii="Consolas" w:cs="Consolas" w:eastAsia="Consolas" w:hAnsi="Consolas"/>
                <w:b w:val="false"/>
                <w:bCs w:val="false"/>
                <w:i w:val="false"/>
                <w:iCs w:val="false"/>
                <w:caps w:val="false"/>
                <w:color w:val="1F4E79"/>
                <w:sz w:val="18"/>
                <w:szCs w:val="18"/>
              </w:rPr>
              <w:t xml:space="preserve">IDEAS.md · TABLERO.md · _PLANTILLA_ticket.md</w:t>
            </w:r>
          </w:p>
        </w:tc>
        <w:tc>
          <w:tcPr>
            <w:tcW w:type="dxa" w:w="57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El backlog, el kanban y las tareas (ya existían del Doc 06).</w:t>
            </w:r>
          </w:p>
        </w:tc>
      </w:tr>
      <w:tr>
        <w:tc>
          <w:tcPr>
            <w:tcW w:type="dxa" w:w="3600"/>
            <w:shd w:fill="FFFFFF" w:color="auto" w:val="clear"/>
            <w:tcMar>
              <w:top w:type="dxa" w:w="50"/>
              <w:left w:type="dxa" w:w="100"/>
              <w:bottom w:type="dxa" w:w="50"/>
              <w:right w:type="dxa" w:w="100"/>
            </w:tcMar>
          </w:tcPr>
          <w:p>
            <w:pPr>
              <w:spacing w:line="254"/>
              <w:jc w:val="left"/>
            </w:pPr>
            <w:r>
              <w:rPr>
                <w:rFonts w:ascii="Consolas" w:cs="Consolas" w:eastAsia="Consolas" w:hAnsi="Consolas"/>
                <w:b w:val="false"/>
                <w:bCs w:val="false"/>
                <w:i w:val="false"/>
                <w:iCs w:val="false"/>
                <w:caps w:val="false"/>
                <w:color w:val="1F4E79"/>
                <w:sz w:val="18"/>
                <w:szCs w:val="18"/>
              </w:rPr>
              <w:t xml:space="preserve">&lt;proyecto&gt;/</w:t>
            </w:r>
          </w:p>
        </w:tc>
        <w:tc>
          <w:tcPr>
            <w:tcW w:type="dxa" w:w="57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Cuando elijas la idea, aquí vive el código (y como repo aparte en GitHub).</w:t>
            </w:r>
          </w:p>
        </w:tc>
      </w:tr>
    </w:tbl>
    <w:p>
      <w:pPr>
        <w:spacing w:after="50"/>
      </w:pPr>
    </w:p>
    <w:tbl>
      <w:tblPr>
        <w:tblW w:type="dxa" w:w="9360"/>
        <w:tblBorders>
          <w:top w:val="single" w:color="E4F1F1" w:sz="2"/>
          <w:left w:val="single" w:color="0E7C7B" w:sz="30"/>
          <w:bottom w:val="single" w:color="E4F1F1" w:sz="2"/>
          <w:right w:val="single" w:color="E4F1F1" w:sz="2"/>
          <w:insideH w:val="single" w:color="auto" w:sz="4"/>
          <w:insideV w:val="single" w:color="auto" w:sz="4"/>
        </w:tblBorders>
      </w:tblPr>
      <w:tblGrid>
        <w:gridCol w:w="9360"/>
      </w:tblGrid>
      <w:tr>
        <w:tc>
          <w:tcPr>
            <w:tcW w:type="dxa" w:w="9360"/>
            <w:shd w:fill="E4F1F1" w:color="auto" w:val="clear"/>
            <w:tcMar>
              <w:top w:type="dxa" w:w="120"/>
              <w:left w:type="dxa" w:w="200"/>
              <w:bottom w:type="dxa" w:w="120"/>
              <w:right w:type="dxa" w:w="160"/>
            </w:tcMar>
          </w:tcPr>
          <w:p>
            <w:pPr>
              <w:spacing w:after="60"/>
            </w:pPr>
            <w:r>
              <w:rPr>
                <w:rFonts w:ascii="Calibri" w:cs="Calibri" w:eastAsia="Calibri" w:hAnsi="Calibri"/>
                <w:b/>
                <w:bCs/>
                <w:caps/>
                <w:color w:val="0E7C7B"/>
                <w:sz w:val="20"/>
                <w:szCs w:val="20"/>
              </w:rPr>
              <w:t xml:space="preserve">Cómo se conecta todo</w:t>
            </w:r>
          </w:p>
          <w:p>
            <w:pPr>
              <w:spacing w:after="40" w:line="264"/>
            </w:pPr>
            <w:r>
              <w:rPr>
                <w:rFonts w:ascii="Calibri" w:cs="Calibri" w:eastAsia="Calibri" w:hAnsi="Calibri"/>
                <w:b w:val="false"/>
                <w:bCs w:val="false"/>
                <w:i w:val="false"/>
                <w:iCs w:val="false"/>
                <w:caps w:val="false"/>
                <w:color w:val="222222"/>
                <w:sz w:val="21"/>
                <w:szCs w:val="21"/>
              </w:rPr>
              <w:t xml:space="preserve">Eliges idea (Mercado_Universitario) → planeas sprint (TABLERO) → construyes (tickets) → registras el valor de cada commit (Modelo_de_Valor) → anotas en Bitácora → el Excel te dice qué precio está justificado. Un ciclo cerrado: construyes, mides valor, cobras con respaldo.</w:t>
            </w:r>
          </w:p>
        </w:tc>
      </w:tr>
    </w:tbl>
    <w:p>
      <w:pPr>
        <w:pStyle w:val="Heading1"/>
        <w:pBdr>
          <w:bottom w:val="single" w:color="0E7C7B" w:sz="12" w:space="6"/>
        </w:pBdr>
        <w:spacing w:after="140" w:before="320"/>
      </w:pPr>
      <w:r>
        <w:rPr>
          <w:rFonts w:ascii="Calibri" w:cs="Calibri" w:eastAsia="Calibri" w:hAnsi="Calibri"/>
          <w:b/>
          <w:bCs/>
          <w:color w:val="12324F"/>
          <w:sz w:val="30"/>
          <w:szCs w:val="30"/>
        </w:rPr>
        <w:t xml:space="preserve">8 · Realismo y ética (para no chocar con la pared)</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El mercado valida el precio, no el Excel. </w:t>
      </w:r>
      <w:r>
        <w:rPr>
          <w:rFonts w:ascii="Calibri" w:cs="Calibri" w:eastAsia="Calibri" w:hAnsi="Calibri"/>
          <w:b w:val="false"/>
          <w:bCs w:val="false"/>
          <w:i w:val="false"/>
          <w:iCs w:val="false"/>
          <w:caps w:val="false"/>
          <w:color w:val="222222"/>
          <w:sz w:val="21"/>
          <w:szCs w:val="21"/>
        </w:rPr>
        <w:t xml:space="preserve">El modelo te orienta; los usuarios deciden. Si nadie paga tu tier, el valor percibido es menor (mejora la feature); si pagan sin dudar, subestimaste (sube).</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Herramientas de salud = estudio/entrenamiento. </w:t>
      </w:r>
      <w:r>
        <w:rPr>
          <w:rFonts w:ascii="Calibri" w:cs="Calibri" w:eastAsia="Calibri" w:hAnsi="Calibri"/>
          <w:b w:val="false"/>
          <w:bCs w:val="false"/>
          <w:i w:val="false"/>
          <w:iCs w:val="false"/>
          <w:caps w:val="false"/>
          <w:color w:val="222222"/>
          <w:sz w:val="21"/>
          <w:szCs w:val="21"/>
        </w:rPr>
        <w:t xml:space="preserve">Nunca para decisiones clínicas reales. Ponlo explícito en la app. Te protege legalmente y es lo correcto.</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Un usuario que paga ya es victoria. </w:t>
      </w:r>
      <w:r>
        <w:rPr>
          <w:rFonts w:ascii="Calibri" w:cs="Calibri" w:eastAsia="Calibri" w:hAnsi="Calibri"/>
          <w:b w:val="false"/>
          <w:bCs w:val="false"/>
          <w:i w:val="false"/>
          <w:iCs w:val="false"/>
          <w:caps w:val="false"/>
          <w:color w:val="222222"/>
          <w:sz w:val="21"/>
          <w:szCs w:val="21"/>
        </w:rPr>
        <w:t xml:space="preserve">No te midas contra unicornios. La evidencia de que a alguien le importa lo que construiste es el hito — y la frase de entrevista.</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Calidad siempre, aunque sea barato. </w:t>
      </w:r>
      <w:r>
        <w:rPr>
          <w:rFonts w:ascii="Calibri" w:cs="Calibri" w:eastAsia="Calibri" w:hAnsi="Calibri"/>
          <w:b w:val="false"/>
          <w:bCs w:val="false"/>
          <w:i w:val="false"/>
          <w:iCs w:val="false"/>
          <w:caps w:val="false"/>
          <w:color w:val="222222"/>
          <w:sz w:val="21"/>
          <w:szCs w:val="21"/>
        </w:rPr>
        <w:t xml:space="preserve">Un precio “ganga” no justifica algo cutre. La calidad es tu segunda carta de presentación laboral; cuídala aunque cobres centavos.</w:t>
      </w:r>
    </w:p>
    <w:tbl>
      <w:tblPr>
        <w:tblW w:type="dxa" w:w="9360"/>
        <w:tblBorders>
          <w:top w:val="single" w:color="FBF4E4" w:sz="2"/>
          <w:left w:val="single" w:color="B8860B" w:sz="30"/>
          <w:bottom w:val="single" w:color="FBF4E4" w:sz="2"/>
          <w:right w:val="single" w:color="FBF4E4" w:sz="2"/>
          <w:insideH w:val="single" w:color="auto" w:sz="4"/>
          <w:insideV w:val="single" w:color="auto" w:sz="4"/>
        </w:tblBorders>
      </w:tblPr>
      <w:tblGrid>
        <w:gridCol w:w="9360"/>
      </w:tblGrid>
      <w:tr>
        <w:tc>
          <w:tcPr>
            <w:tcW w:type="dxa" w:w="9360"/>
            <w:shd w:fill="FBF4E4" w:color="auto" w:val="clear"/>
            <w:tcMar>
              <w:top w:type="dxa" w:w="120"/>
              <w:left w:type="dxa" w:w="200"/>
              <w:bottom w:type="dxa" w:w="120"/>
              <w:right w:type="dxa" w:w="160"/>
            </w:tcMar>
          </w:tcPr>
          <w:p>
            <w:pPr>
              <w:spacing w:after="60"/>
            </w:pPr>
            <w:r>
              <w:rPr>
                <w:rFonts w:ascii="Calibri" w:cs="Calibri" w:eastAsia="Calibri" w:hAnsi="Calibri"/>
                <w:b/>
                <w:bCs/>
                <w:caps/>
                <w:color w:val="B8860B"/>
                <w:sz w:val="20"/>
                <w:szCs w:val="20"/>
              </w:rPr>
              <w:t xml:space="preserve">El cierre</w:t>
            </w:r>
          </w:p>
          <w:p>
            <w:pPr>
              <w:spacing w:after="40" w:line="264"/>
            </w:pPr>
            <w:r>
              <w:rPr>
                <w:rFonts w:ascii="Calibri" w:cs="Calibri" w:eastAsia="Calibri" w:hAnsi="Calibri"/>
                <w:b w:val="false"/>
                <w:bCs w:val="false"/>
                <w:i w:val="false"/>
                <w:iCs w:val="false"/>
                <w:caps w:val="false"/>
                <w:color w:val="222222"/>
                <w:sz w:val="21"/>
                <w:szCs w:val="21"/>
              </w:rPr>
              <w:t xml:space="preserve">Ya tienes el ecosistema (dónde vender), el flagship (qué vender), el modelo de precio (cuánto cobrar y por qué) y las carpetas (dónde ordenarlo). La base fundacional está firme. El siguiente paso sigue siendo el mismo: elegir, y cerrar el primer ticket. Cuando quieras, bajamos el Sprint 0 del asistente de estadística — con su primera fila en el Registro de Valor.</w:t>
            </w:r>
          </w:p>
        </w:tc>
      </w:tr>
    </w:tbl>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Fuentes</w:t>
      </w:r>
    </w:p>
    <w:p>
      <w:pPr>
        <w:spacing w:after="100" w:before="0" w:line="276"/>
        <w:jc w:val="both"/>
      </w:pPr>
      <w:r>
        <w:rPr>
          <w:rFonts w:ascii="Calibri" w:cs="Calibri" w:eastAsia="Calibri" w:hAnsi="Calibri"/>
          <w:b w:val="false"/>
          <w:bCs w:val="false"/>
          <w:i w:val="false"/>
          <w:iCs w:val="false"/>
          <w:caps w:val="false"/>
          <w:color w:val="222222"/>
          <w:sz w:val="21"/>
          <w:szCs w:val="21"/>
        </w:rPr>
        <w:t xml:space="preserve">Verificadas en julio 2026.</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iatrox / Voka / Nursa — Best apps for medical &amp; nursing students 2026 (stack, pain points)</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iatrox.com/blog</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MeducationAI — Best AI study tools for nursing students 2026</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meducationai.com/blog</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MDCalc / QxMD — clinical calculators (referencia de mercado)</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mdcalc.com</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BigIdeasDB / Lenny’s Newsletter / Irrational Labs — Micro-SaaS &amp; willingness-to-pay 2026</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lennysnewsletter.com/p/the-ultimate-guide-to-willingness</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sueldo.ec / Buró Tributario — precios y SBU Ecuador 2026 (contexto local, USD)</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sueldo.ec</w:t>
      </w:r>
    </w:p>
    <w:sectPr>
      <w:headerReference w:type="default" r:id="rId7"/>
      <w:footerReference w:type="default" r:id="rId8"/>
      <w:pgSz w:w="12240" w:h="15840" w:orient="portrait"/>
      <w:pgMar w:top="1120" w:right="1440" w:bottom="11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jc w:val="center"/>
    </w:pPr>
    <w:r>
      <w:rPr>
        <w:rFonts w:ascii="Calibri" w:cs="Calibri" w:eastAsia="Calibri" w:hAnsi="Calibri"/>
        <w:color w:val="5B6770"/>
        <w:sz w:val="15"/>
        <w:szCs w:val="15"/>
      </w:rPr>
      <w:t xml:space="preserve">empleoBio · cjalcivar@gmail.com   ·   </w:t>
    </w:r>
    <w:r>
      <w:rPr>
        <w:rFonts w:ascii="Calibri" w:cs="Calibri" w:eastAsia="Calibri" w:hAnsi="Calibri"/>
        <w:color w:val="5B67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C" w:sz="4" w:space="2"/>
      </w:pBdr>
      <w:spacing w:after="0"/>
      <w:jc w:val="right"/>
    </w:pPr>
    <w:r>
      <w:rPr>
        <w:rFonts w:ascii="Calibri" w:cs="Calibri" w:eastAsia="Calibri" w:hAnsi="Calibri"/>
        <w:caps/>
        <w:color w:val="5B6770"/>
        <w:sz w:val="15"/>
        <w:szCs w:val="15"/>
      </w:rPr>
      <w:t xml:space="preserve">Vender en tu Ecosistema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E7C7B"/>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Vender en tu Ecosistema</dc:title>
  <dc:creator>empleoBio</dc:creator>
  <cp:lastModifiedBy>Un-named</cp:lastModifiedBy>
  <cp:revision>1</cp:revision>
  <dcterms:created xsi:type="dcterms:W3CDTF">2026-07-29T01:44:50.989Z</dcterms:created>
  <dcterms:modified xsi:type="dcterms:W3CDTF">2026-07-29T01:44:50.991Z</dcterms:modified>
</cp:coreProperties>
</file>

<file path=docProps/custom.xml><?xml version="1.0" encoding="utf-8"?>
<Properties xmlns="http://schemas.openxmlformats.org/officeDocument/2006/custom-properties" xmlns:vt="http://schemas.openxmlformats.org/officeDocument/2006/docPropsVTypes"/>
</file>