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C367" w14:textId="44731B33" w:rsidR="67590E6E" w:rsidRDefault="67590E6E" w:rsidP="4DD5512F">
      <w:pPr>
        <w:rPr>
          <w:rFonts w:hint="eastAsia"/>
        </w:rPr>
      </w:pPr>
    </w:p>
    <w:p w14:paraId="2718446B" w14:textId="6EA47591" w:rsidR="74440FA9" w:rsidRDefault="74440FA9" w:rsidP="4DD5512F">
      <w:pPr>
        <w:pStyle w:val="Heading2"/>
        <w:spacing w:line="276" w:lineRule="auto"/>
        <w:rPr>
          <w:rFonts w:hint="eastAsia"/>
        </w:rPr>
      </w:pPr>
      <w:r w:rsidRPr="4DD5512F">
        <w:rPr>
          <w:rFonts w:ascii="Aptos Display" w:eastAsia="Aptos Display" w:hAnsi="Aptos Display" w:cs="Aptos Display"/>
        </w:rPr>
        <w:t>Kenya</w:t>
      </w:r>
    </w:p>
    <w:p w14:paraId="59FE355C" w14:textId="1067FBF9" w:rsidR="284C1BAF" w:rsidRDefault="284C1BAF" w:rsidP="4DD5512F">
      <w:pPr>
        <w:rPr>
          <w:rFonts w:hint="eastAsia"/>
        </w:rPr>
      </w:pPr>
      <w:commentRangeStart w:id="0"/>
      <w:r>
        <w:rPr>
          <w:noProof/>
        </w:rPr>
        <w:drawing>
          <wp:inline distT="0" distB="0" distL="0" distR="0" wp14:anchorId="55721B0B" wp14:editId="5A5369C1">
            <wp:extent cx="5943600" cy="2571750"/>
            <wp:effectExtent l="0" t="0" r="0" b="0"/>
            <wp:docPr id="692494780" name="drawing" title="A graph of a graph&#10;&#10;AI-generated content may be incorrect.">
              <a:extLst xmlns:a="http://schemas.openxmlformats.org/drawingml/2006/main">
                <a:ext uri="{FF2B5EF4-FFF2-40B4-BE49-F238E27FC236}">
                  <a16:creationId xmlns:a16="http://schemas.microsoft.com/office/drawing/2014/main" id="{3E678D9D-93EE-42C3-A5DA-C863C79EC5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94780" name="Picture 692494780"/>
                    <pic:cNvPicPr/>
                  </pic:nvPicPr>
                  <pic:blipFill>
                    <a:blip r:embed="rId8">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commentRangeEnd w:id="0"/>
      <w:r>
        <w:rPr>
          <w:rStyle w:val="CommentReference"/>
          <w:rFonts w:hint="eastAsia"/>
          <w:sz w:val="24"/>
          <w:szCs w:val="24"/>
        </w:rPr>
        <w:commentReference w:id="0"/>
      </w:r>
    </w:p>
    <w:p w14:paraId="010702D2" w14:textId="5866EF04" w:rsidR="74440FA9" w:rsidRDefault="74440FA9" w:rsidP="67590E6E">
      <w:pPr>
        <w:spacing w:after="0"/>
        <w:jc w:val="both"/>
        <w:rPr>
          <w:rFonts w:hint="eastAsia"/>
        </w:rPr>
      </w:pPr>
      <w:r w:rsidRPr="67590E6E">
        <w:rPr>
          <w:rFonts w:ascii="Aptos" w:eastAsia="Aptos" w:hAnsi="Aptos" w:cs="Aptos"/>
          <w:b/>
          <w:bCs/>
          <w:color w:val="000000" w:themeColor="text1"/>
        </w:rPr>
        <w:t>Kenya's Conflict Profile</w:t>
      </w:r>
    </w:p>
    <w:p w14:paraId="0EFF7EC0" w14:textId="16F8A1DD" w:rsidR="74440FA9" w:rsidRDefault="74440FA9" w:rsidP="67590E6E">
      <w:pPr>
        <w:pStyle w:val="ListParagraph"/>
        <w:numPr>
          <w:ilvl w:val="0"/>
          <w:numId w:val="9"/>
        </w:numPr>
        <w:spacing w:after="0"/>
        <w:jc w:val="both"/>
        <w:rPr>
          <w:rFonts w:ascii="Aptos" w:eastAsia="Aptos" w:hAnsi="Aptos" w:cs="Aptos"/>
          <w:color w:val="000000" w:themeColor="text1"/>
          <w:vertAlign w:val="superscript"/>
        </w:rPr>
      </w:pPr>
      <w:r w:rsidRPr="67590E6E">
        <w:rPr>
          <w:rFonts w:ascii="Aptos" w:eastAsia="Aptos" w:hAnsi="Aptos" w:cs="Aptos"/>
          <w:b/>
          <w:bCs/>
          <w:color w:val="000000" w:themeColor="text1"/>
        </w:rPr>
        <w:t>Northeast corridor:</w:t>
      </w:r>
      <w:r w:rsidRPr="67590E6E">
        <w:rPr>
          <w:rFonts w:ascii="Aptos" w:eastAsia="Aptos" w:hAnsi="Aptos" w:cs="Aptos"/>
          <w:color w:val="000000" w:themeColor="text1"/>
        </w:rPr>
        <w:t xml:space="preserve"> Kenya's lowest SEPI-scoring counties, Mandera, Garissa, Turkana, Lamu, Samburu, and Isiolo, are simultaneously its most conflict-affected over 2016–2025. The structural conditions SEPI measures closely overlap with conditions identified in conflict literature as conducive to al-Shabaab recruitment and pastoralist violence. </w:t>
      </w:r>
    </w:p>
    <w:p w14:paraId="2124C2C8" w14:textId="28F2DC01" w:rsidR="74440FA9" w:rsidRDefault="74440FA9" w:rsidP="67590E6E">
      <w:pPr>
        <w:pStyle w:val="ListParagraph"/>
        <w:numPr>
          <w:ilvl w:val="0"/>
          <w:numId w:val="9"/>
        </w:numPr>
        <w:spacing w:after="0"/>
        <w:jc w:val="both"/>
        <w:rPr>
          <w:rFonts w:ascii="Aptos" w:eastAsia="Aptos" w:hAnsi="Aptos" w:cs="Aptos"/>
          <w:color w:val="000000" w:themeColor="text1"/>
        </w:rPr>
      </w:pPr>
      <w:r w:rsidRPr="67590E6E">
        <w:rPr>
          <w:rFonts w:ascii="Aptos" w:eastAsia="Aptos" w:hAnsi="Aptos" w:cs="Aptos"/>
          <w:b/>
          <w:bCs/>
          <w:color w:val="000000" w:themeColor="text1"/>
        </w:rPr>
        <w:t>Western highlands:</w:t>
      </w:r>
      <w:r w:rsidRPr="67590E6E">
        <w:rPr>
          <w:rFonts w:ascii="Aptos" w:eastAsia="Aptos" w:hAnsi="Aptos" w:cs="Aptos"/>
          <w:color w:val="000000" w:themeColor="text1"/>
        </w:rPr>
        <w:t xml:space="preserve"> Counties such as Vihiga, Nyamira, Bomet, and Kericho score consistently high on SEPI and record near-zero conflict. However, Baringo serves as a cautionary case: despite moderate SEPI scores, it experienced significant conflict escalation, suggesting that structural indicators alone do not capture the risk posed by small arms proliferation and organised armed groups.</w:t>
      </w:r>
    </w:p>
    <w:p w14:paraId="01601A6C" w14:textId="2ED6B966" w:rsidR="74440FA9" w:rsidRDefault="74440FA9" w:rsidP="67590E6E">
      <w:pPr>
        <w:spacing w:after="0"/>
        <w:ind w:left="720"/>
        <w:jc w:val="both"/>
        <w:rPr>
          <w:rFonts w:hint="eastAsia"/>
        </w:rPr>
      </w:pPr>
      <w:r w:rsidRPr="67590E6E">
        <w:rPr>
          <w:rFonts w:ascii="Aptos" w:eastAsia="Aptos" w:hAnsi="Aptos" w:cs="Aptos"/>
          <w:color w:val="000000" w:themeColor="text1"/>
        </w:rPr>
        <w:t xml:space="preserve"> </w:t>
      </w:r>
    </w:p>
    <w:p w14:paraId="75059FBF" w14:textId="150C5B27" w:rsidR="74440FA9" w:rsidRDefault="74440FA9" w:rsidP="4DD5512F">
      <w:pPr>
        <w:spacing w:after="0"/>
        <w:jc w:val="both"/>
        <w:rPr>
          <w:rFonts w:ascii="Aptos" w:eastAsia="Aptos" w:hAnsi="Aptos" w:cs="Aptos"/>
          <w:b/>
          <w:bCs/>
          <w:color w:val="000000" w:themeColor="text1"/>
        </w:rPr>
      </w:pPr>
      <w:r w:rsidRPr="4DD5512F">
        <w:rPr>
          <w:rFonts w:ascii="Aptos" w:eastAsia="Aptos" w:hAnsi="Aptos" w:cs="Aptos"/>
          <w:b/>
          <w:bCs/>
          <w:color w:val="000000" w:themeColor="text1"/>
        </w:rPr>
        <w:t>Conflict Trends</w:t>
      </w:r>
      <w:commentRangeStart w:id="1"/>
      <w:commentRangeEnd w:id="1"/>
      <w:r>
        <w:rPr>
          <w:rStyle w:val="CommentReference"/>
          <w:rFonts w:ascii="Aptos" w:eastAsia="Aptos" w:hAnsi="Aptos" w:cs="Aptos"/>
          <w:b/>
          <w:bCs/>
          <w:color w:val="000000" w:themeColor="text1"/>
          <w:sz w:val="24"/>
          <w:szCs w:val="24"/>
        </w:rPr>
        <w:commentReference w:id="1"/>
      </w:r>
    </w:p>
    <w:p w14:paraId="0EEDDCD5" w14:textId="5DF7C86D" w:rsidR="74440FA9" w:rsidRDefault="74440FA9" w:rsidP="67590E6E">
      <w:pPr>
        <w:spacing w:after="0"/>
        <w:jc w:val="both"/>
        <w:rPr>
          <w:rFonts w:hint="eastAsia"/>
        </w:rPr>
      </w:pPr>
      <w:r w:rsidRPr="67590E6E">
        <w:rPr>
          <w:rFonts w:ascii="Aptos" w:eastAsia="Aptos" w:hAnsi="Aptos" w:cs="Aptos"/>
          <w:color w:val="000000" w:themeColor="text1"/>
        </w:rPr>
        <w:t>ACLED data shows conflict escalating in two distinct waves: a spike in 2017, and a sharper, more sustained escalation from 2022 peaking in 2023, remaining elevated through 2025. Kenya experiences multiple, overlapping conflict systems - pastoralist, electoral, jihadist, and urban political.</w:t>
      </w:r>
    </w:p>
    <w:p w14:paraId="164C5706" w14:textId="7ABE4771" w:rsidR="74440FA9" w:rsidRDefault="74440FA9" w:rsidP="67590E6E">
      <w:pPr>
        <w:pStyle w:val="ListParagraph"/>
        <w:numPr>
          <w:ilvl w:val="0"/>
          <w:numId w:val="1"/>
        </w:numPr>
        <w:spacing w:after="0"/>
        <w:jc w:val="both"/>
        <w:rPr>
          <w:rFonts w:ascii="Aptos" w:eastAsia="Aptos" w:hAnsi="Aptos" w:cs="Aptos"/>
          <w:color w:val="000000" w:themeColor="text1"/>
        </w:rPr>
      </w:pPr>
      <w:r w:rsidRPr="67590E6E">
        <w:rPr>
          <w:rFonts w:ascii="Aptos" w:eastAsia="Aptos" w:hAnsi="Aptos" w:cs="Aptos"/>
          <w:color w:val="000000" w:themeColor="text1"/>
        </w:rPr>
        <w:t xml:space="preserve">The </w:t>
      </w:r>
      <w:r w:rsidRPr="67590E6E">
        <w:rPr>
          <w:rFonts w:ascii="Aptos" w:eastAsia="Aptos" w:hAnsi="Aptos" w:cs="Aptos"/>
          <w:b/>
          <w:bCs/>
          <w:color w:val="000000" w:themeColor="text1"/>
        </w:rPr>
        <w:t>2017 spike</w:t>
      </w:r>
      <w:r w:rsidRPr="67590E6E">
        <w:rPr>
          <w:rFonts w:ascii="Aptos" w:eastAsia="Aptos" w:hAnsi="Aptos" w:cs="Aptos"/>
          <w:color w:val="000000" w:themeColor="text1"/>
        </w:rPr>
        <w:t xml:space="preserve"> reflects reported incidents of violence involving security forces and civilians concentrated in Nairobi's low-income settlements and western Nyanza counties, with a secondary component of protest-related violence.</w:t>
      </w:r>
    </w:p>
    <w:p w14:paraId="75176B72" w14:textId="7C25D8C3" w:rsidR="74440FA9" w:rsidRDefault="74440FA9" w:rsidP="67590E6E">
      <w:pPr>
        <w:pStyle w:val="ListParagraph"/>
        <w:numPr>
          <w:ilvl w:val="0"/>
          <w:numId w:val="1"/>
        </w:numPr>
        <w:spacing w:after="0"/>
        <w:jc w:val="both"/>
        <w:rPr>
          <w:rFonts w:ascii="Aptos" w:eastAsia="Aptos" w:hAnsi="Aptos" w:cs="Aptos"/>
          <w:color w:val="000000" w:themeColor="text1"/>
          <w:vertAlign w:val="superscript"/>
        </w:rPr>
      </w:pPr>
      <w:r w:rsidRPr="67590E6E">
        <w:rPr>
          <w:rFonts w:ascii="Aptos" w:eastAsia="Aptos" w:hAnsi="Aptos" w:cs="Aptos"/>
          <w:color w:val="000000" w:themeColor="text1"/>
        </w:rPr>
        <w:t xml:space="preserve">The </w:t>
      </w:r>
      <w:r w:rsidRPr="67590E6E">
        <w:rPr>
          <w:rFonts w:ascii="Aptos" w:eastAsia="Aptos" w:hAnsi="Aptos" w:cs="Aptos"/>
          <w:b/>
          <w:bCs/>
          <w:color w:val="000000" w:themeColor="text1"/>
        </w:rPr>
        <w:t>2022-2025 escalation</w:t>
      </w:r>
      <w:r w:rsidRPr="67590E6E">
        <w:rPr>
          <w:rFonts w:ascii="Aptos" w:eastAsia="Aptos" w:hAnsi="Aptos" w:cs="Aptos"/>
          <w:color w:val="000000" w:themeColor="text1"/>
        </w:rPr>
        <w:t xml:space="preserve"> reflects two concurrent processes: electoral and protest-related violence, particularly mob violence targeting local officials in Nairobi and southwestern counties, and a significant increase in al-Shabaab operations along the Kenya-Somalia border, with 2023 recording the highest number of al-Shabaab events in Kenya. Severe drought and food insecurity further exacerbated communal conflict in the north and east.</w:t>
      </w:r>
    </w:p>
    <w:p w14:paraId="5E43AE0B" w14:textId="76580B8B" w:rsidR="74440FA9" w:rsidRDefault="455E58F9" w:rsidP="67590E6E">
      <w:pPr>
        <w:spacing w:after="0"/>
        <w:jc w:val="both"/>
        <w:rPr>
          <w:rFonts w:hint="eastAsia"/>
        </w:rPr>
      </w:pPr>
      <w:r w:rsidRPr="456061A4">
        <w:rPr>
          <w:rFonts w:ascii="Aptos" w:eastAsia="Aptos" w:hAnsi="Aptos" w:cs="Aptos"/>
          <w:color w:val="000000" w:themeColor="text1"/>
        </w:rPr>
        <w:t xml:space="preserve"> </w:t>
      </w:r>
    </w:p>
    <w:p w14:paraId="30F620C9" w14:textId="3A928EF8" w:rsidR="74440FA9" w:rsidRDefault="74440FA9" w:rsidP="253F6170">
      <w:pPr>
        <w:spacing w:after="0"/>
        <w:ind w:left="720"/>
        <w:jc w:val="both"/>
        <w:rPr>
          <w:rFonts w:hint="eastAsia"/>
        </w:rPr>
      </w:pPr>
    </w:p>
    <w:p w14:paraId="1EE7B956" w14:textId="75A2F654" w:rsidR="74440FA9" w:rsidRDefault="74440FA9" w:rsidP="67590E6E">
      <w:pPr>
        <w:spacing w:after="0"/>
        <w:jc w:val="both"/>
        <w:rPr>
          <w:rFonts w:hint="eastAsia"/>
        </w:rPr>
      </w:pPr>
      <w:r w:rsidRPr="67590E6E">
        <w:rPr>
          <w:rFonts w:ascii="Aptos" w:eastAsia="Aptos" w:hAnsi="Aptos" w:cs="Aptos"/>
          <w:b/>
          <w:bCs/>
          <w:color w:val="000000" w:themeColor="text1"/>
        </w:rPr>
        <w:t>Conflict-Intensive Districts</w:t>
      </w:r>
    </w:p>
    <w:p w14:paraId="70B6F050" w14:textId="4854860E" w:rsidR="74440FA9" w:rsidRDefault="74440FA9" w:rsidP="67590E6E">
      <w:pPr>
        <w:pStyle w:val="ListParagraph"/>
        <w:numPr>
          <w:ilvl w:val="0"/>
          <w:numId w:val="6"/>
        </w:numPr>
        <w:spacing w:after="0"/>
        <w:jc w:val="both"/>
        <w:rPr>
          <w:rFonts w:ascii="Aptos" w:eastAsia="Aptos" w:hAnsi="Aptos" w:cs="Aptos"/>
          <w:color w:val="000000" w:themeColor="text1"/>
          <w:vertAlign w:val="superscript"/>
        </w:rPr>
      </w:pPr>
      <w:r w:rsidRPr="67590E6E">
        <w:rPr>
          <w:rFonts w:ascii="Aptos" w:eastAsia="Aptos" w:hAnsi="Aptos" w:cs="Aptos"/>
          <w:b/>
          <w:bCs/>
          <w:color w:val="000000" w:themeColor="text1"/>
        </w:rPr>
        <w:t>Mandera:</w:t>
      </w:r>
      <w:r w:rsidRPr="67590E6E">
        <w:rPr>
          <w:rFonts w:ascii="Aptos" w:eastAsia="Aptos" w:hAnsi="Aptos" w:cs="Aptos"/>
          <w:color w:val="000000" w:themeColor="text1"/>
        </w:rPr>
        <w:t xml:space="preserve"> Highest conflict concentration, with three overlapping systems operating simultaneously - inter-clan competition, al-Shabaab infiltration, and cross-border dynamics with Ethiopia and Somalia.</w:t>
      </w:r>
    </w:p>
    <w:p w14:paraId="4DB7A4D8" w14:textId="2F06CEA1" w:rsidR="74440FA9" w:rsidRDefault="74440FA9" w:rsidP="67590E6E">
      <w:pPr>
        <w:pStyle w:val="ListParagraph"/>
        <w:numPr>
          <w:ilvl w:val="0"/>
          <w:numId w:val="6"/>
        </w:numPr>
        <w:spacing w:after="0"/>
        <w:jc w:val="both"/>
        <w:rPr>
          <w:rFonts w:ascii="Aptos" w:eastAsia="Aptos" w:hAnsi="Aptos" w:cs="Aptos"/>
          <w:color w:val="000000" w:themeColor="text1"/>
        </w:rPr>
      </w:pPr>
      <w:r w:rsidRPr="67590E6E">
        <w:rPr>
          <w:rFonts w:ascii="Aptos" w:eastAsia="Aptos" w:hAnsi="Aptos" w:cs="Aptos"/>
          <w:b/>
          <w:bCs/>
          <w:color w:val="000000" w:themeColor="text1"/>
        </w:rPr>
        <w:t>Garissa:</w:t>
      </w:r>
      <w:r w:rsidRPr="67590E6E">
        <w:rPr>
          <w:rFonts w:ascii="Aptos" w:eastAsia="Aptos" w:hAnsi="Aptos" w:cs="Aptos"/>
          <w:color w:val="000000" w:themeColor="text1"/>
        </w:rPr>
        <w:t xml:space="preserve"> Deteriorating public security driven by violent criminality and al-Shabaab attacks, despite an absence of large-scale communal violence.</w:t>
      </w:r>
    </w:p>
    <w:p w14:paraId="73895DF5" w14:textId="445BD372" w:rsidR="74440FA9" w:rsidRDefault="74440FA9" w:rsidP="67590E6E">
      <w:pPr>
        <w:pStyle w:val="ListParagraph"/>
        <w:numPr>
          <w:ilvl w:val="0"/>
          <w:numId w:val="6"/>
        </w:numPr>
        <w:spacing w:after="0"/>
        <w:jc w:val="both"/>
        <w:rPr>
          <w:rFonts w:ascii="Aptos" w:eastAsia="Aptos" w:hAnsi="Aptos" w:cs="Aptos"/>
          <w:color w:val="000000" w:themeColor="text1"/>
        </w:rPr>
      </w:pPr>
      <w:r w:rsidRPr="67590E6E">
        <w:rPr>
          <w:rFonts w:ascii="Aptos" w:eastAsia="Aptos" w:hAnsi="Aptos" w:cs="Aptos"/>
          <w:b/>
          <w:bCs/>
          <w:color w:val="000000" w:themeColor="text1"/>
        </w:rPr>
        <w:t>Lamu:</w:t>
      </w:r>
      <w:r w:rsidRPr="67590E6E">
        <w:rPr>
          <w:rFonts w:ascii="Aptos" w:eastAsia="Aptos" w:hAnsi="Aptos" w:cs="Aptos"/>
          <w:color w:val="000000" w:themeColor="text1"/>
        </w:rPr>
        <w:t xml:space="preserve"> Among the highest per-capita events and fatalities, linked to al-Shabaab targeting of LAPSSET infrastructure. Its small population produces an outsized per-capita fatality rate.</w:t>
      </w:r>
    </w:p>
    <w:p w14:paraId="5BBAE4D4" w14:textId="4020FBBE" w:rsidR="74440FA9" w:rsidRDefault="74440FA9" w:rsidP="67590E6E">
      <w:pPr>
        <w:pStyle w:val="ListParagraph"/>
        <w:numPr>
          <w:ilvl w:val="0"/>
          <w:numId w:val="6"/>
        </w:numPr>
        <w:spacing w:after="0"/>
        <w:jc w:val="both"/>
        <w:rPr>
          <w:rFonts w:ascii="Aptos" w:eastAsia="Aptos" w:hAnsi="Aptos" w:cs="Aptos"/>
          <w:color w:val="000000" w:themeColor="text1"/>
        </w:rPr>
      </w:pPr>
      <w:r w:rsidRPr="0206CF5E">
        <w:rPr>
          <w:rFonts w:ascii="Aptos" w:eastAsia="Aptos" w:hAnsi="Aptos" w:cs="Aptos"/>
          <w:b/>
          <w:bCs/>
          <w:color w:val="000000" w:themeColor="text1"/>
        </w:rPr>
        <w:t>Nairobi:</w:t>
      </w:r>
      <w:r w:rsidRPr="0206CF5E">
        <w:rPr>
          <w:rFonts w:ascii="Aptos" w:eastAsia="Aptos" w:hAnsi="Aptos" w:cs="Aptos"/>
          <w:color w:val="000000" w:themeColor="text1"/>
        </w:rPr>
        <w:t xml:space="preserve"> </w:t>
      </w:r>
      <w:r w:rsidR="20847EB2" w:rsidRPr="0206CF5E">
        <w:rPr>
          <w:rFonts w:ascii="Aptos" w:eastAsia="Aptos" w:hAnsi="Aptos" w:cs="Aptos"/>
          <w:color w:val="000000" w:themeColor="text1"/>
        </w:rPr>
        <w:t>P</w:t>
      </w:r>
      <w:r w:rsidRPr="0206CF5E">
        <w:rPr>
          <w:rFonts w:ascii="Aptos" w:eastAsia="Aptos" w:hAnsi="Aptos" w:cs="Aptos"/>
          <w:color w:val="000000" w:themeColor="text1"/>
        </w:rPr>
        <w:t>rimarily elite-sponsored urban political violence, with the highest absolute event count but lowest per-capita rate among the five regions with most conflict events.</w:t>
      </w:r>
    </w:p>
    <w:p w14:paraId="1595EB28" w14:textId="4408015C" w:rsidR="74440FA9" w:rsidRDefault="74440FA9" w:rsidP="67590E6E">
      <w:pPr>
        <w:spacing w:after="0"/>
        <w:jc w:val="both"/>
        <w:rPr>
          <w:rFonts w:hint="eastAsia"/>
        </w:rPr>
      </w:pPr>
      <w:r w:rsidRPr="67590E6E">
        <w:rPr>
          <w:rFonts w:ascii="Aptos" w:eastAsia="Aptos" w:hAnsi="Aptos" w:cs="Aptos"/>
          <w:color w:val="000000" w:themeColor="text1"/>
        </w:rPr>
        <w:t xml:space="preserve"> </w:t>
      </w:r>
    </w:p>
    <w:p w14:paraId="32980CB4" w14:textId="2B780F50" w:rsidR="74440FA9" w:rsidRDefault="74440FA9" w:rsidP="67590E6E">
      <w:pPr>
        <w:spacing w:after="0"/>
        <w:rPr>
          <w:rFonts w:hint="eastAsia"/>
        </w:rPr>
      </w:pPr>
      <w:r w:rsidRPr="67590E6E">
        <w:rPr>
          <w:rFonts w:ascii="Lato" w:eastAsia="Lato" w:hAnsi="Lato" w:cs="Lato"/>
          <w:color w:val="000000" w:themeColor="text1"/>
        </w:rPr>
        <w:t xml:space="preserve"> </w:t>
      </w:r>
    </w:p>
    <w:p w14:paraId="0ACDEB87" w14:textId="24E126C4" w:rsidR="000425C3" w:rsidRDefault="000425C3" w:rsidP="000425C3">
      <w:pPr>
        <w:spacing w:after="0"/>
        <w:rPr>
          <w:rFonts w:ascii="Lato" w:eastAsia="Lato" w:hAnsi="Lato" w:cs="Lato"/>
          <w:color w:val="000000" w:themeColor="text1"/>
        </w:rPr>
      </w:pPr>
    </w:p>
    <w:p w14:paraId="1FCBAF88" w14:textId="54ED5B1B" w:rsidR="7FFC1031" w:rsidRDefault="7BCFBF93" w:rsidP="25218332">
      <w:pPr>
        <w:spacing w:after="0"/>
      </w:pPr>
      <w:commentRangeStart w:id="2"/>
      <w:r>
        <w:rPr>
          <w:noProof/>
        </w:rPr>
        <w:drawing>
          <wp:inline distT="0" distB="0" distL="0" distR="0" wp14:anchorId="5ECBD28C" wp14:editId="4ECECE63">
            <wp:extent cx="4270131" cy="7162800"/>
            <wp:effectExtent l="0" t="0" r="0" b="0"/>
            <wp:docPr id="509235909" name="drawing">
              <a:extLst xmlns:a="http://schemas.openxmlformats.org/drawingml/2006/main">
                <a:ext uri="{FF2B5EF4-FFF2-40B4-BE49-F238E27FC236}">
                  <a16:creationId xmlns:a16="http://schemas.microsoft.com/office/drawing/2014/main" id="{8E2716C9-A32F-43FA-B96D-00494FA27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35909" name="Picture 509235909"/>
                    <pic:cNvPicPr/>
                  </pic:nvPicPr>
                  <pic:blipFill>
                    <a:blip r:embed="rId13">
                      <a:extLst>
                        <a:ext uri="{28A0092B-C50C-407E-A947-70E740481C1C}">
                          <a14:useLocalDpi xmlns:a14="http://schemas.microsoft.com/office/drawing/2010/main"/>
                        </a:ext>
                      </a:extLst>
                    </a:blip>
                    <a:stretch>
                      <a:fillRect/>
                    </a:stretch>
                  </pic:blipFill>
                  <pic:spPr>
                    <a:xfrm>
                      <a:off x="0" y="0"/>
                      <a:ext cx="4270131" cy="7162800"/>
                    </a:xfrm>
                    <a:prstGeom prst="rect">
                      <a:avLst/>
                    </a:prstGeom>
                  </pic:spPr>
                </pic:pic>
              </a:graphicData>
            </a:graphic>
          </wp:inline>
        </w:drawing>
      </w:r>
      <w:commentRangeEnd w:id="2"/>
      <w:r>
        <w:rPr>
          <w:rStyle w:val="CommentReference"/>
          <w:sz w:val="24"/>
          <w:szCs w:val="24"/>
        </w:rPr>
        <w:commentReference w:id="2"/>
      </w:r>
    </w:p>
    <w:p w14:paraId="024F8899" w14:textId="394C69A8" w:rsidR="25B8999F" w:rsidRDefault="53DD9831" w:rsidP="67590E6E">
      <w:pPr>
        <w:spacing w:after="0"/>
        <w:rPr>
          <w:rFonts w:hint="eastAsia"/>
        </w:rPr>
      </w:pPr>
      <w:commentRangeStart w:id="3"/>
      <w:r>
        <w:rPr>
          <w:noProof/>
        </w:rPr>
        <w:drawing>
          <wp:inline distT="0" distB="0" distL="0" distR="0" wp14:anchorId="0B11C94D" wp14:editId="1B8CA7C0">
            <wp:extent cx="5000625" cy="8321040"/>
            <wp:effectExtent l="0" t="0" r="0" b="0"/>
            <wp:docPr id="871008615" name="drawing">
              <a:extLst xmlns:a="http://schemas.openxmlformats.org/drawingml/2006/main">
                <a:ext uri="{FF2B5EF4-FFF2-40B4-BE49-F238E27FC236}">
                  <a16:creationId xmlns:a16="http://schemas.microsoft.com/office/drawing/2014/main" id="{247783DA-548B-4C29-BFB5-58FDA6332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08615" name="Picture 871008615"/>
                    <pic:cNvPicPr/>
                  </pic:nvPicPr>
                  <pic:blipFill>
                    <a:blip r:embed="rId14">
                      <a:extLst>
                        <a:ext uri="{28A0092B-C50C-407E-A947-70E740481C1C}">
                          <a14:useLocalDpi xmlns:a14="http://schemas.microsoft.com/office/drawing/2010/main"/>
                        </a:ext>
                      </a:extLst>
                    </a:blip>
                    <a:stretch>
                      <a:fillRect/>
                    </a:stretch>
                  </pic:blipFill>
                  <pic:spPr>
                    <a:xfrm>
                      <a:off x="0" y="0"/>
                      <a:ext cx="5000625" cy="8321040"/>
                    </a:xfrm>
                    <a:prstGeom prst="rect">
                      <a:avLst/>
                    </a:prstGeom>
                  </pic:spPr>
                </pic:pic>
              </a:graphicData>
            </a:graphic>
          </wp:inline>
        </w:drawing>
      </w:r>
      <w:commentRangeEnd w:id="3"/>
      <w:r>
        <w:rPr>
          <w:rStyle w:val="CommentReference"/>
          <w:rFonts w:hint="eastAsia"/>
          <w:sz w:val="24"/>
          <w:szCs w:val="24"/>
        </w:rPr>
        <w:commentReference w:id="3"/>
      </w:r>
    </w:p>
    <w:p w14:paraId="7FD3BF02" w14:textId="1DA497AB" w:rsidR="571F1525" w:rsidRDefault="571F1525" w:rsidP="5E4A9519">
      <w:pPr>
        <w:spacing w:after="0"/>
      </w:pPr>
    </w:p>
    <w:p w14:paraId="770214C8" w14:textId="014EFFDB" w:rsidR="571F1525" w:rsidRDefault="571F1525" w:rsidP="571F1525">
      <w:pPr>
        <w:rPr>
          <w:rFonts w:ascii="Aptos" w:eastAsia="Aptos" w:hAnsi="Aptos" w:cs="Aptos"/>
        </w:rPr>
      </w:pPr>
    </w:p>
    <w:p w14:paraId="77101D33" w14:textId="05B0FCCD" w:rsidR="52D7FC33" w:rsidRDefault="52D7FC33" w:rsidP="52D7FC33">
      <w:pPr>
        <w:rPr>
          <w:rFonts w:ascii="Aptos" w:eastAsia="Aptos" w:hAnsi="Aptos" w:cs="Aptos"/>
        </w:rPr>
      </w:pPr>
    </w:p>
    <w:p w14:paraId="13D095B8" w14:textId="61581707" w:rsidR="303881FA" w:rsidRDefault="303881FA" w:rsidP="4DD5512F">
      <w:pPr>
        <w:pStyle w:val="Heading2"/>
        <w:spacing w:line="276" w:lineRule="auto"/>
        <w:jc w:val="both"/>
        <w:rPr>
          <w:rFonts w:hint="eastAsia"/>
        </w:rPr>
      </w:pPr>
      <w:r w:rsidRPr="4DD5512F">
        <w:rPr>
          <w:rFonts w:ascii="Aptos Display" w:eastAsia="Aptos Display" w:hAnsi="Aptos Display" w:cs="Aptos Display"/>
        </w:rPr>
        <w:t>Somalia</w:t>
      </w:r>
    </w:p>
    <w:p w14:paraId="4EC4FA20" w14:textId="44164D34" w:rsidR="5CB0991C" w:rsidRDefault="5CB0991C" w:rsidP="4DD5512F">
      <w:pPr>
        <w:rPr>
          <w:rFonts w:hint="eastAsia"/>
        </w:rPr>
      </w:pPr>
    </w:p>
    <w:p w14:paraId="7082EB48" w14:textId="5945C13A" w:rsidR="5CB0991C" w:rsidRDefault="5CB0991C" w:rsidP="4DD5512F">
      <w:pPr>
        <w:rPr>
          <w:rFonts w:ascii="Aptos" w:eastAsia="Aptos" w:hAnsi="Aptos" w:cs="Aptos"/>
          <w:color w:val="000000" w:themeColor="text1"/>
        </w:rPr>
      </w:pPr>
      <w:r>
        <w:rPr>
          <w:noProof/>
        </w:rPr>
        <w:drawing>
          <wp:inline distT="0" distB="0" distL="0" distR="0" wp14:anchorId="3F4D8048" wp14:editId="6A9052DC">
            <wp:extent cx="5943600" cy="2571750"/>
            <wp:effectExtent l="0" t="0" r="0" b="0"/>
            <wp:docPr id="279626225" name="drawing" title="A graph of a graph with numbers and points&#10;&#10;AI-generated content may be incorrect.">
              <a:extLst xmlns:a="http://schemas.openxmlformats.org/drawingml/2006/main">
                <a:ext uri="{FF2B5EF4-FFF2-40B4-BE49-F238E27FC236}">
                  <a16:creationId xmlns:a16="http://schemas.microsoft.com/office/drawing/2014/main" id="{02419832-9994-4304-A910-3A84AE9A4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6225" name="Picture 279626225"/>
                    <pic:cNvPicPr/>
                  </pic:nvPicPr>
                  <pic:blipFill>
                    <a:blip r:embed="rId15">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019AAD1A" w14:textId="50F4480E" w:rsidR="4DD5512F" w:rsidRDefault="4DD5512F" w:rsidP="4DD5512F">
      <w:pPr>
        <w:rPr>
          <w:rFonts w:hint="eastAsia"/>
        </w:rPr>
      </w:pPr>
    </w:p>
    <w:p w14:paraId="3DD23A24" w14:textId="7210F35D" w:rsidR="52D7FC33" w:rsidRDefault="2AB50983" w:rsidP="456061A4">
      <w:pPr>
        <w:spacing w:line="276" w:lineRule="auto"/>
        <w:jc w:val="both"/>
        <w:rPr>
          <w:rFonts w:hint="eastAsia"/>
        </w:rPr>
      </w:pPr>
      <w:r w:rsidRPr="456061A4">
        <w:rPr>
          <w:rFonts w:ascii="Aptos" w:eastAsia="Aptos" w:hAnsi="Aptos" w:cs="Aptos"/>
          <w:b/>
          <w:bCs/>
        </w:rPr>
        <w:t>Somalia’s Conflict Profile</w:t>
      </w:r>
    </w:p>
    <w:p w14:paraId="7E7BCA2D" w14:textId="4689B03C" w:rsidR="52D7FC33" w:rsidRDefault="2AB50983" w:rsidP="456061A4">
      <w:pPr>
        <w:pStyle w:val="ListParagraph"/>
        <w:numPr>
          <w:ilvl w:val="0"/>
          <w:numId w:val="2"/>
        </w:numPr>
        <w:spacing w:after="0" w:line="276" w:lineRule="auto"/>
        <w:jc w:val="both"/>
        <w:rPr>
          <w:rFonts w:ascii="Aptos" w:eastAsia="Aptos" w:hAnsi="Aptos" w:cs="Aptos"/>
          <w:color w:val="467886"/>
          <w:u w:val="single"/>
          <w:vertAlign w:val="superscript"/>
        </w:rPr>
      </w:pPr>
      <w:r w:rsidRPr="456061A4">
        <w:rPr>
          <w:rFonts w:ascii="Aptos" w:eastAsia="Aptos" w:hAnsi="Aptos" w:cs="Aptos"/>
          <w:b/>
          <w:bCs/>
        </w:rPr>
        <w:t>South-central contested regions</w:t>
      </w:r>
      <w:r w:rsidRPr="456061A4">
        <w:rPr>
          <w:rFonts w:ascii="Aptos" w:eastAsia="Aptos" w:hAnsi="Aptos" w:cs="Aptos"/>
        </w:rPr>
        <w:t>: Somalia's lowest-SEPI regions, Lower Shabelle, Bay, Middle Shabelle, Lower Juba, and Hiraan, are simultaneously its most conflict-intensive over 2016–2025. The structural conditions SEPI captures co-locate precisely with regions where al-Shabaab has sustained insurgent governance, extracting taxes and establishing shadow administrative structures known as Wilaayaats.</w:t>
      </w:r>
    </w:p>
    <w:p w14:paraId="277C95F7" w14:textId="5B14F223" w:rsidR="52D7FC33" w:rsidRDefault="2AB50983" w:rsidP="456061A4">
      <w:pPr>
        <w:pStyle w:val="ListParagraph"/>
        <w:numPr>
          <w:ilvl w:val="0"/>
          <w:numId w:val="2"/>
        </w:numPr>
        <w:spacing w:after="0" w:line="276" w:lineRule="auto"/>
        <w:jc w:val="both"/>
        <w:rPr>
          <w:rFonts w:ascii="Aptos" w:eastAsia="Aptos" w:hAnsi="Aptos" w:cs="Aptos"/>
          <w:color w:val="467886"/>
          <w:u w:val="single"/>
          <w:vertAlign w:val="superscript"/>
        </w:rPr>
      </w:pPr>
      <w:r w:rsidRPr="456061A4">
        <w:rPr>
          <w:rFonts w:ascii="Aptos" w:eastAsia="Aptos" w:hAnsi="Aptos" w:cs="Aptos"/>
          <w:b/>
          <w:bCs/>
        </w:rPr>
        <w:t xml:space="preserve">Somaliland and Puntland: </w:t>
      </w:r>
      <w:r w:rsidRPr="456061A4">
        <w:rPr>
          <w:rFonts w:ascii="Aptos" w:eastAsia="Aptos" w:hAnsi="Aptos" w:cs="Aptos"/>
        </w:rPr>
        <w:t>Awdal, Woqooyi Galbeed, Togdheer, and Nugaal are the lowest-conflict regions and score substantially higher on SEPI. The autonomous governance structures of Somaliland and Puntland have simultaneously improved service delivery and produced relative security stability. Puntland and Somaliland face mounting security threats as Al-Shabaab and ISIS experience a resurgence in the region, with displaced militant fighters moving northward to exploit growing political instability.</w:t>
      </w:r>
    </w:p>
    <w:p w14:paraId="1367BF8B" w14:textId="183BE0F9" w:rsidR="52D7FC33" w:rsidRDefault="52D7FC33" w:rsidP="456061A4">
      <w:pPr>
        <w:pStyle w:val="ListParagraph"/>
        <w:spacing w:after="0" w:line="276" w:lineRule="auto"/>
        <w:jc w:val="both"/>
        <w:rPr>
          <w:rFonts w:ascii="Aptos" w:eastAsia="Aptos" w:hAnsi="Aptos" w:cs="Aptos"/>
          <w:color w:val="467886"/>
          <w:u w:val="single"/>
          <w:vertAlign w:val="superscript"/>
        </w:rPr>
      </w:pPr>
    </w:p>
    <w:p w14:paraId="44025903" w14:textId="76414798" w:rsidR="757E97E5" w:rsidRDefault="757E97E5" w:rsidP="757E97E5">
      <w:pPr>
        <w:spacing w:line="276" w:lineRule="auto"/>
        <w:jc w:val="both"/>
        <w:rPr>
          <w:rFonts w:ascii="Aptos" w:eastAsia="Aptos" w:hAnsi="Aptos" w:cs="Aptos"/>
          <w:b/>
          <w:bCs/>
        </w:rPr>
      </w:pPr>
    </w:p>
    <w:p w14:paraId="69F124E0" w14:textId="70CF32FD" w:rsidR="52D7FC33" w:rsidRDefault="2AB50983" w:rsidP="456061A4">
      <w:pPr>
        <w:spacing w:line="276" w:lineRule="auto"/>
        <w:jc w:val="both"/>
        <w:rPr>
          <w:rFonts w:ascii="Aptos" w:eastAsia="Aptos" w:hAnsi="Aptos" w:cs="Aptos"/>
        </w:rPr>
      </w:pPr>
      <w:r w:rsidRPr="456061A4">
        <w:rPr>
          <w:rFonts w:ascii="Aptos" w:eastAsia="Aptos" w:hAnsi="Aptos" w:cs="Aptos"/>
          <w:b/>
          <w:bCs/>
        </w:rPr>
        <w:t>Conflict Trends</w:t>
      </w:r>
      <w:r w:rsidRPr="456061A4">
        <w:rPr>
          <w:rFonts w:ascii="Segoe UI" w:eastAsia="Segoe UI" w:hAnsi="Segoe UI" w:cs="Segoe UI"/>
          <w:color w:val="242424"/>
          <w:sz w:val="21"/>
          <w:szCs w:val="21"/>
        </w:rPr>
        <w:t xml:space="preserve"> </w:t>
      </w:r>
      <w:commentRangeStart w:id="4"/>
      <w:commentRangeEnd w:id="4"/>
      <w:r w:rsidR="52D7FC33">
        <w:rPr>
          <w:rStyle w:val="CommentReference"/>
          <w:rFonts w:ascii="Aptos" w:eastAsia="Aptos" w:hAnsi="Aptos" w:cs="Aptos"/>
          <w:sz w:val="24"/>
          <w:szCs w:val="24"/>
        </w:rPr>
        <w:commentReference w:id="4"/>
      </w:r>
    </w:p>
    <w:p w14:paraId="210B01FD" w14:textId="44793A0C" w:rsidR="52D7FC33" w:rsidRDefault="2AB50983" w:rsidP="456061A4">
      <w:pPr>
        <w:spacing w:line="276" w:lineRule="auto"/>
        <w:jc w:val="both"/>
        <w:rPr>
          <w:rFonts w:ascii="Aptos" w:eastAsia="Aptos" w:hAnsi="Aptos" w:cs="Aptos"/>
          <w:color w:val="467886"/>
          <w:u w:val="single"/>
          <w:vertAlign w:val="superscript"/>
        </w:rPr>
      </w:pPr>
      <w:r w:rsidRPr="456061A4">
        <w:rPr>
          <w:rFonts w:ascii="Aptos" w:eastAsia="Aptos" w:hAnsi="Aptos" w:cs="Aptos"/>
        </w:rPr>
        <w:t>Somalia recorded between 2,284 and 4,377 conflict events annually over 2016–2025. The period from 2022 marks a qualitative shift. The first stage of President Mohamud's August 2022 "total war" against al-Shabaab, relying heavily on clan militia alliances, was described as the most effective offensive since 2016, expelling al-Shabaab from areas it had controlled for over a decade. However, the second phase saw limited success as al-Shabaab recaptured key towns in Mudug and Galgaduud, exploiting Somali National Army (SNA) leadership factionalism and clan militia defections.</w:t>
      </w:r>
    </w:p>
    <w:p w14:paraId="02FC40A1" w14:textId="2AEEE6E7" w:rsidR="52D7FC33" w:rsidRDefault="2AB50983" w:rsidP="456061A4">
      <w:pPr>
        <w:spacing w:line="276" w:lineRule="auto"/>
        <w:jc w:val="both"/>
        <w:rPr>
          <w:rFonts w:hint="eastAsia"/>
        </w:rPr>
      </w:pPr>
      <w:r w:rsidRPr="456061A4">
        <w:rPr>
          <w:rFonts w:ascii="Aptos" w:eastAsia="Aptos" w:hAnsi="Aptos" w:cs="Aptos"/>
        </w:rPr>
        <w:t xml:space="preserve">Humanitarian and conflict dynamics are deeply intertwined. Between 2021 and 2023, Somalia endured its most severe drought in recorded history following five consecutive failed rainy seasons, a crisis that al-Shabaab capitalized on by intercepting food supplies, destroying water sources, and increasing its seizure and taxation of livestock. By end-2024, an estimated 4.4 million people needed urgent food aid, and approximately half of 350,000 people displaced between January and October fled conflict specifically. </w:t>
      </w:r>
    </w:p>
    <w:p w14:paraId="29B7F7BA" w14:textId="4B2429A1" w:rsidR="52D7FC33" w:rsidRDefault="2AB50983" w:rsidP="456061A4">
      <w:pPr>
        <w:spacing w:line="276" w:lineRule="auto"/>
        <w:jc w:val="both"/>
        <w:rPr>
          <w:rFonts w:ascii="Aptos" w:eastAsia="Aptos" w:hAnsi="Aptos" w:cs="Aptos"/>
        </w:rPr>
      </w:pPr>
      <w:r w:rsidRPr="0206CF5E">
        <w:rPr>
          <w:rFonts w:ascii="Aptos" w:eastAsia="Aptos" w:hAnsi="Aptos" w:cs="Aptos"/>
        </w:rPr>
        <w:t>The sharpest escalation came in April 2025, when al-Shabaab launched a sweeping offensive across central Somalia, seizing successive SNA towns and largely encircling Mogadishu by July. Three converging failures</w:t>
      </w:r>
      <w:r w:rsidR="467AD3F3" w:rsidRPr="0206CF5E">
        <w:rPr>
          <w:rFonts w:ascii="Aptos" w:eastAsia="Aptos" w:hAnsi="Aptos" w:cs="Aptos"/>
        </w:rPr>
        <w:t xml:space="preserve"> are reported to</w:t>
      </w:r>
      <w:r w:rsidRPr="0206CF5E">
        <w:rPr>
          <w:rFonts w:ascii="Aptos" w:eastAsia="Aptos" w:hAnsi="Aptos" w:cs="Aptos"/>
        </w:rPr>
        <w:t xml:space="preserve"> drove the surge: a collapse in federal-state cooperation, a severely underfunded and politically undermined African Union Support and Stabilization Mission in Somalia, and a SNA critically degraded by years of attrition.</w:t>
      </w:r>
    </w:p>
    <w:p w14:paraId="305F0874" w14:textId="140C1642" w:rsidR="52D7FC33" w:rsidRDefault="52D7FC33" w:rsidP="55EE4F72">
      <w:pPr>
        <w:spacing w:after="0" w:line="276" w:lineRule="auto"/>
        <w:jc w:val="both"/>
        <w:rPr>
          <w:rFonts w:ascii="Aptos" w:eastAsia="Aptos" w:hAnsi="Aptos" w:cs="Aptos"/>
        </w:rPr>
      </w:pPr>
    </w:p>
    <w:p w14:paraId="38292402" w14:textId="10244C45" w:rsidR="52D7FC33" w:rsidRDefault="2AB50983" w:rsidP="456061A4">
      <w:pPr>
        <w:spacing w:line="276" w:lineRule="auto"/>
        <w:jc w:val="both"/>
        <w:rPr>
          <w:rFonts w:hint="eastAsia"/>
        </w:rPr>
      </w:pPr>
      <w:r w:rsidRPr="456061A4">
        <w:rPr>
          <w:rFonts w:ascii="Aptos" w:eastAsia="Aptos" w:hAnsi="Aptos" w:cs="Aptos"/>
          <w:b/>
          <w:bCs/>
        </w:rPr>
        <w:t>Conflict-Intensive Regions</w:t>
      </w:r>
    </w:p>
    <w:p w14:paraId="47DB5DB0" w14:textId="321E57A4" w:rsidR="52D7FC33" w:rsidRDefault="2AB50983" w:rsidP="456061A4">
      <w:pPr>
        <w:spacing w:line="276" w:lineRule="auto"/>
        <w:jc w:val="both"/>
        <w:rPr>
          <w:rFonts w:hint="eastAsia"/>
        </w:rPr>
      </w:pPr>
      <w:r w:rsidRPr="456061A4">
        <w:rPr>
          <w:rFonts w:ascii="Aptos" w:eastAsia="Aptos" w:hAnsi="Aptos" w:cs="Aptos"/>
          <w:b/>
          <w:bCs/>
        </w:rPr>
        <w:t>Lower Shabelle</w:t>
      </w:r>
      <w:r w:rsidRPr="456061A4">
        <w:rPr>
          <w:rFonts w:ascii="Aptos" w:eastAsia="Aptos" w:hAnsi="Aptos" w:cs="Aptos"/>
        </w:rPr>
        <w:t xml:space="preserve"> is Somalia's most conflict-intensive region, recording 462 battle events between January and November 2024, the highest nationally.</w:t>
      </w:r>
    </w:p>
    <w:p w14:paraId="125D3B28" w14:textId="2E96BB86" w:rsidR="52D7FC33" w:rsidRDefault="2AB50983" w:rsidP="456061A4">
      <w:pPr>
        <w:spacing w:line="276" w:lineRule="auto"/>
        <w:jc w:val="both"/>
        <w:rPr>
          <w:rFonts w:ascii="Aptos" w:eastAsia="Aptos" w:hAnsi="Aptos" w:cs="Aptos"/>
          <w:color w:val="467886"/>
          <w:u w:val="single"/>
          <w:vertAlign w:val="superscript"/>
        </w:rPr>
      </w:pPr>
      <w:r w:rsidRPr="456061A4">
        <w:rPr>
          <w:rFonts w:ascii="Aptos" w:eastAsia="Aptos" w:hAnsi="Aptos" w:cs="Aptos"/>
          <w:b/>
          <w:bCs/>
        </w:rPr>
        <w:t>Banadir/Mogadishu</w:t>
      </w:r>
      <w:r w:rsidRPr="456061A4">
        <w:rPr>
          <w:rFonts w:ascii="Aptos" w:eastAsia="Aptos" w:hAnsi="Aptos" w:cs="Aptos"/>
        </w:rPr>
        <w:t xml:space="preserve"> is the second-highest conflict region and a persistent al-Shabaab target. Al-Shabaab maintains operatives within the city, exploiting Mogadishu's fragmented 17-district administration to target local officials. In 2024, following the deployment of stabilization forces that are part of SNA, battle events in the region decreased by 44%.</w:t>
      </w:r>
    </w:p>
    <w:p w14:paraId="75F3EA34" w14:textId="08E4E200" w:rsidR="52D7FC33" w:rsidRDefault="2AB50983" w:rsidP="456061A4">
      <w:pPr>
        <w:spacing w:line="276" w:lineRule="auto"/>
        <w:jc w:val="both"/>
        <w:rPr>
          <w:rFonts w:ascii="Aptos" w:eastAsia="Aptos" w:hAnsi="Aptos" w:cs="Aptos"/>
          <w:color w:val="467886"/>
          <w:u w:val="single"/>
          <w:vertAlign w:val="superscript"/>
        </w:rPr>
      </w:pPr>
      <w:r w:rsidRPr="456061A4">
        <w:rPr>
          <w:rFonts w:ascii="Aptos" w:eastAsia="Aptos" w:hAnsi="Aptos" w:cs="Aptos"/>
          <w:b/>
          <w:bCs/>
        </w:rPr>
        <w:t>Lower Juba:</w:t>
      </w:r>
      <w:r w:rsidRPr="456061A4">
        <w:rPr>
          <w:rFonts w:ascii="Aptos" w:eastAsia="Aptos" w:hAnsi="Aptos" w:cs="Aptos"/>
        </w:rPr>
        <w:t xml:space="preserve"> Despite an overall reduction in battles, al-Shabaab violence targeting civilians increased 65% in 2024, with the group accusing civilians of cooperating with security forces.</w:t>
      </w:r>
    </w:p>
    <w:p w14:paraId="387EFB90" w14:textId="6FB0FEF8" w:rsidR="52D7FC33" w:rsidRDefault="2AB50983" w:rsidP="456061A4">
      <w:pPr>
        <w:spacing w:line="276" w:lineRule="auto"/>
        <w:jc w:val="both"/>
        <w:rPr>
          <w:rFonts w:hint="eastAsia"/>
        </w:rPr>
      </w:pPr>
      <w:r w:rsidRPr="456061A4">
        <w:rPr>
          <w:rFonts w:ascii="Aptos" w:eastAsia="Aptos" w:hAnsi="Aptos" w:cs="Aptos"/>
        </w:rPr>
        <w:t xml:space="preserve"> </w:t>
      </w:r>
    </w:p>
    <w:p w14:paraId="06C81513" w14:textId="7D7A7BE8" w:rsidR="32239345" w:rsidRDefault="32239345" w:rsidP="5DFA454A">
      <w:pPr>
        <w:spacing w:line="276" w:lineRule="auto"/>
        <w:jc w:val="both"/>
        <w:rPr>
          <w:rFonts w:ascii="Aptos" w:eastAsia="Aptos" w:hAnsi="Aptos" w:cs="Aptos"/>
        </w:rPr>
      </w:pPr>
    </w:p>
    <w:p w14:paraId="3E93C568" w14:textId="7E60F69F" w:rsidR="32239345" w:rsidRDefault="32239345" w:rsidP="32239345">
      <w:pPr>
        <w:spacing w:after="0"/>
        <w:jc w:val="both"/>
      </w:pPr>
    </w:p>
    <w:p w14:paraId="37B63774" w14:textId="5FAB1B22" w:rsidR="00A6AC04" w:rsidRDefault="00A6AC04" w:rsidP="00A6AC04">
      <w:pPr>
        <w:spacing w:after="0"/>
        <w:jc w:val="both"/>
      </w:pPr>
    </w:p>
    <w:p w14:paraId="1178BD11" w14:textId="32DAB002" w:rsidR="6B52D19B" w:rsidRDefault="6B52D19B" w:rsidP="5DBBC9AB">
      <w:pPr>
        <w:spacing w:after="0"/>
        <w:jc w:val="both"/>
      </w:pPr>
      <w:r>
        <w:rPr>
          <w:noProof/>
        </w:rPr>
        <w:drawing>
          <wp:inline distT="0" distB="0" distL="0" distR="0" wp14:anchorId="4D5D7F04" wp14:editId="61875950">
            <wp:extent cx="3748074" cy="6919522"/>
            <wp:effectExtent l="0" t="0" r="0" b="0"/>
            <wp:docPr id="1148864746" name="drawing">
              <a:extLst xmlns:a="http://schemas.openxmlformats.org/drawingml/2006/main">
                <a:ext uri="{FF2B5EF4-FFF2-40B4-BE49-F238E27FC236}">
                  <a16:creationId xmlns:a16="http://schemas.microsoft.com/office/drawing/2014/main" id="{E915D6A1-6FC3-46FB-A1E0-BFEA5107BF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64746" name="Picture 1148864746"/>
                    <pic:cNvPicPr/>
                  </pic:nvPicPr>
                  <pic:blipFill>
                    <a:blip r:embed="rId16">
                      <a:extLst>
                        <a:ext uri="{28A0092B-C50C-407E-A947-70E740481C1C}">
                          <a14:useLocalDpi xmlns:a14="http://schemas.microsoft.com/office/drawing/2010/main"/>
                        </a:ext>
                      </a:extLst>
                    </a:blip>
                    <a:stretch>
                      <a:fillRect/>
                    </a:stretch>
                  </pic:blipFill>
                  <pic:spPr>
                    <a:xfrm>
                      <a:off x="0" y="0"/>
                      <a:ext cx="3748074" cy="6919522"/>
                    </a:xfrm>
                    <a:prstGeom prst="rect">
                      <a:avLst/>
                    </a:prstGeom>
                  </pic:spPr>
                </pic:pic>
              </a:graphicData>
            </a:graphic>
          </wp:inline>
        </w:drawing>
      </w:r>
    </w:p>
    <w:p w14:paraId="6AAE4346" w14:textId="200EAADA" w:rsidR="669FD40D" w:rsidRDefault="669FD40D" w:rsidP="669FD40D">
      <w:pPr>
        <w:spacing w:after="0"/>
        <w:jc w:val="both"/>
      </w:pPr>
    </w:p>
    <w:p w14:paraId="08FECCFF" w14:textId="4DB73285" w:rsidR="742FAF6D" w:rsidRDefault="742FAF6D" w:rsidP="742FAF6D">
      <w:pPr>
        <w:spacing w:after="0"/>
        <w:jc w:val="both"/>
      </w:pPr>
    </w:p>
    <w:p w14:paraId="26923567" w14:textId="6EC5CFBB" w:rsidR="742FAF6D" w:rsidRDefault="742FAF6D" w:rsidP="742FAF6D">
      <w:pPr>
        <w:spacing w:after="0"/>
        <w:jc w:val="both"/>
      </w:pPr>
    </w:p>
    <w:p w14:paraId="5D986A22" w14:textId="3F81A72F" w:rsidR="742FAF6D" w:rsidRDefault="742FAF6D" w:rsidP="742FAF6D">
      <w:pPr>
        <w:spacing w:after="0"/>
        <w:jc w:val="both"/>
      </w:pPr>
    </w:p>
    <w:p w14:paraId="1DC8BDB0" w14:textId="1643AB0C" w:rsidR="473AADFB" w:rsidRDefault="473AADFB" w:rsidP="742FAF6D">
      <w:pPr>
        <w:spacing w:after="0"/>
        <w:jc w:val="both"/>
      </w:pPr>
    </w:p>
    <w:p w14:paraId="141019C3" w14:textId="2CEC666C" w:rsidR="3C8B14F1" w:rsidRDefault="68B11573" w:rsidP="3C8B14F1">
      <w:pPr>
        <w:spacing w:after="0"/>
        <w:jc w:val="both"/>
      </w:pPr>
      <w:r>
        <w:rPr>
          <w:noProof/>
        </w:rPr>
        <w:drawing>
          <wp:inline distT="0" distB="0" distL="0" distR="0" wp14:anchorId="11F59D39" wp14:editId="09A6A2D6">
            <wp:extent cx="4448030" cy="7975780"/>
            <wp:effectExtent l="0" t="0" r="0" b="0"/>
            <wp:docPr id="335828787" name="drawing">
              <a:extLst xmlns:a="http://schemas.openxmlformats.org/drawingml/2006/main">
                <a:ext uri="{FF2B5EF4-FFF2-40B4-BE49-F238E27FC236}">
                  <a16:creationId xmlns:a16="http://schemas.microsoft.com/office/drawing/2014/main" id="{BDB73A41-217B-4C34-A1C0-BC7B38797E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28787" name="Picture 335828787"/>
                    <pic:cNvPicPr/>
                  </pic:nvPicPr>
                  <pic:blipFill>
                    <a:blip r:embed="rId17">
                      <a:extLst>
                        <a:ext uri="{28A0092B-C50C-407E-A947-70E740481C1C}">
                          <a14:useLocalDpi xmlns:a14="http://schemas.microsoft.com/office/drawing/2010/main"/>
                        </a:ext>
                      </a:extLst>
                    </a:blip>
                    <a:stretch>
                      <a:fillRect/>
                    </a:stretch>
                  </pic:blipFill>
                  <pic:spPr>
                    <a:xfrm>
                      <a:off x="0" y="0"/>
                      <a:ext cx="4448030" cy="7975780"/>
                    </a:xfrm>
                    <a:prstGeom prst="rect">
                      <a:avLst/>
                    </a:prstGeom>
                  </pic:spPr>
                </pic:pic>
              </a:graphicData>
            </a:graphic>
          </wp:inline>
        </w:drawing>
      </w:r>
    </w:p>
    <w:p w14:paraId="556207BF" w14:textId="4E5A8BC7" w:rsidR="52D7FC33" w:rsidRDefault="52D7FC33" w:rsidP="4DD5512F">
      <w:pPr>
        <w:spacing w:after="0"/>
        <w:jc w:val="both"/>
        <w:rPr>
          <w:rFonts w:hint="eastAsia"/>
        </w:rPr>
      </w:pPr>
    </w:p>
    <w:p w14:paraId="416F11A0" w14:textId="103FC6DA" w:rsidR="52D7FC33" w:rsidRDefault="0EEF9332" w:rsidP="0206CF5E">
      <w:pPr>
        <w:pStyle w:val="Heading2"/>
        <w:spacing w:before="0" w:after="0"/>
        <w:jc w:val="both"/>
        <w:rPr>
          <w:rFonts w:hint="eastAsia"/>
        </w:rPr>
      </w:pPr>
      <w:r>
        <w:t>South Sudan</w:t>
      </w:r>
    </w:p>
    <w:p w14:paraId="147FFA19" w14:textId="1A8A514C" w:rsidR="7B565E71" w:rsidRDefault="7B565E71" w:rsidP="4DD5512F">
      <w:pPr>
        <w:rPr>
          <w:rFonts w:hint="eastAsia"/>
        </w:rPr>
      </w:pPr>
    </w:p>
    <w:p w14:paraId="51E84A57" w14:textId="1EE38B13" w:rsidR="7B565E71" w:rsidRDefault="7B565E71" w:rsidP="4DD5512F">
      <w:pPr>
        <w:rPr>
          <w:rFonts w:hint="eastAsia"/>
        </w:rPr>
      </w:pPr>
      <w:r>
        <w:rPr>
          <w:noProof/>
        </w:rPr>
        <w:drawing>
          <wp:inline distT="0" distB="0" distL="0" distR="0" wp14:anchorId="0E22B81E" wp14:editId="7958449B">
            <wp:extent cx="5943600" cy="2571750"/>
            <wp:effectExtent l="0" t="0" r="0" b="0"/>
            <wp:docPr id="1817976288" name="drawing" title="A graph of a graph with numbers and a line&#10;&#10;AI-generated content may be incorrect.">
              <a:extLst xmlns:a="http://schemas.openxmlformats.org/drawingml/2006/main">
                <a:ext uri="{FF2B5EF4-FFF2-40B4-BE49-F238E27FC236}">
                  <a16:creationId xmlns:a16="http://schemas.microsoft.com/office/drawing/2014/main" id="{A0DF5E66-315E-4973-ADA7-8F2E8AD1D3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76288" name="Picture 1817976288"/>
                    <pic:cNvPicPr/>
                  </pic:nvPicPr>
                  <pic:blipFill>
                    <a:blip r:embed="rId18">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687A3AC7" w14:textId="060C6AB3" w:rsidR="0206CF5E" w:rsidRDefault="0206CF5E" w:rsidP="0206CF5E">
      <w:pPr>
        <w:spacing w:line="276" w:lineRule="auto"/>
        <w:jc w:val="both"/>
        <w:rPr>
          <w:rFonts w:ascii="Aptos" w:eastAsia="Aptos" w:hAnsi="Aptos" w:cs="Aptos"/>
          <w:b/>
          <w:bCs/>
        </w:rPr>
      </w:pPr>
    </w:p>
    <w:p w14:paraId="702568F3" w14:textId="0CCC0390" w:rsidR="52D7FC33" w:rsidRDefault="0EEF9332" w:rsidP="4DD5512F">
      <w:pPr>
        <w:spacing w:line="276" w:lineRule="auto"/>
        <w:jc w:val="both"/>
        <w:rPr>
          <w:rFonts w:hint="eastAsia"/>
        </w:rPr>
      </w:pPr>
      <w:r w:rsidRPr="4DD5512F">
        <w:rPr>
          <w:rFonts w:ascii="Aptos" w:eastAsia="Aptos" w:hAnsi="Aptos" w:cs="Aptos"/>
          <w:b/>
          <w:bCs/>
        </w:rPr>
        <w:t>SEPI–Conflict Alignment</w:t>
      </w:r>
    </w:p>
    <w:p w14:paraId="5B2A0299" w14:textId="4A4E78D3" w:rsidR="52D7FC33" w:rsidRDefault="0EEF9332" w:rsidP="0206CF5E">
      <w:pPr>
        <w:pStyle w:val="ListParagraph"/>
        <w:numPr>
          <w:ilvl w:val="0"/>
          <w:numId w:val="4"/>
        </w:numPr>
        <w:spacing w:line="276" w:lineRule="auto"/>
        <w:jc w:val="both"/>
        <w:rPr>
          <w:rFonts w:ascii="Aptos" w:eastAsia="Aptos" w:hAnsi="Aptos" w:cs="Aptos"/>
        </w:rPr>
      </w:pPr>
      <w:r w:rsidRPr="0206CF5E">
        <w:rPr>
          <w:rFonts w:ascii="Aptos" w:eastAsia="Aptos" w:hAnsi="Aptos" w:cs="Aptos"/>
          <w:b/>
          <w:bCs/>
        </w:rPr>
        <w:t>The oil-producing states of Jonglei, Unity, and Upper Nile are simultaneously South Sudan's most conflict-intensive and among its worst performers on welfare indicators</w:t>
      </w:r>
      <w:r w:rsidRPr="0206CF5E">
        <w:rPr>
          <w:rFonts w:ascii="Aptos" w:eastAsia="Aptos" w:hAnsi="Aptos" w:cs="Aptos"/>
        </w:rPr>
        <w:t>. Conflict here is driven primarily by political power dynamics and competition over oil revenues.</w:t>
      </w:r>
      <w:r w:rsidR="12D0C88B" w:rsidRPr="0206CF5E">
        <w:rPr>
          <w:rFonts w:ascii="Aptos" w:eastAsia="Aptos" w:hAnsi="Aptos" w:cs="Aptos"/>
        </w:rPr>
        <w:t xml:space="preserve"> </w:t>
      </w:r>
      <w:r w:rsidR="63C65F41" w:rsidRPr="0206CF5E">
        <w:rPr>
          <w:rFonts w:ascii="Aptos" w:eastAsia="Aptos" w:hAnsi="Aptos" w:cs="Aptos"/>
        </w:rPr>
        <w:t>The</w:t>
      </w:r>
      <w:r w:rsidRPr="0206CF5E">
        <w:rPr>
          <w:rFonts w:ascii="Aptos" w:eastAsia="Aptos" w:hAnsi="Aptos" w:cs="Aptos"/>
        </w:rPr>
        <w:t xml:space="preserve"> geography of violence follows oil fields and South Sudan People’s Defence Forces (SSPDF)– Sudan People’s Liberation Movement-in-Opposition (SPLM-IO) rivalry, not</w:t>
      </w:r>
      <w:r w:rsidR="02B27597" w:rsidRPr="0206CF5E">
        <w:rPr>
          <w:rFonts w:ascii="Aptos" w:eastAsia="Aptos" w:hAnsi="Aptos" w:cs="Aptos"/>
        </w:rPr>
        <w:t xml:space="preserve"> primarily</w:t>
      </w:r>
      <w:r w:rsidRPr="0206CF5E">
        <w:rPr>
          <w:rFonts w:ascii="Aptos" w:eastAsia="Aptos" w:hAnsi="Aptos" w:cs="Aptos"/>
        </w:rPr>
        <w:t xml:space="preserve"> the geography of deprivation.</w:t>
      </w:r>
    </w:p>
    <w:p w14:paraId="5F6040AB" w14:textId="7C0A8D88" w:rsidR="52D7FC33" w:rsidRDefault="0EEF9332" w:rsidP="0206CF5E">
      <w:pPr>
        <w:pStyle w:val="ListParagraph"/>
        <w:numPr>
          <w:ilvl w:val="0"/>
          <w:numId w:val="4"/>
        </w:numPr>
        <w:spacing w:line="276" w:lineRule="auto"/>
        <w:jc w:val="both"/>
        <w:rPr>
          <w:rFonts w:ascii="Aptos" w:eastAsia="Aptos" w:hAnsi="Aptos" w:cs="Aptos"/>
        </w:rPr>
      </w:pPr>
      <w:r w:rsidRPr="0206CF5E">
        <w:rPr>
          <w:rFonts w:ascii="Aptos" w:eastAsia="Aptos" w:hAnsi="Aptos" w:cs="Aptos"/>
          <w:b/>
          <w:bCs/>
        </w:rPr>
        <w:t xml:space="preserve">Equatoria states and western periphery; </w:t>
      </w:r>
      <w:r w:rsidRPr="0206CF5E">
        <w:rPr>
          <w:rFonts w:ascii="Aptos" w:eastAsia="Aptos" w:hAnsi="Aptos" w:cs="Aptos"/>
        </w:rPr>
        <w:t xml:space="preserve">lower conflict, higher welfare baseline, but structurally fragile. The Equatoria states and Western Bahr el Ghazal record both higher SEPI scores and substantially lower conflict counts. Their relative advantage reflects transport connectivity, proximity to more stable neighbouring markets, and less direct exposure to the civil war's oil-corridor frontlines. </w:t>
      </w:r>
    </w:p>
    <w:p w14:paraId="1036BDD7" w14:textId="6836EEA9" w:rsidR="52D7FC33" w:rsidRDefault="0EEF9332" w:rsidP="4DD5512F">
      <w:pPr>
        <w:spacing w:line="276" w:lineRule="auto"/>
        <w:jc w:val="both"/>
        <w:rPr>
          <w:rFonts w:ascii="Aptos" w:eastAsia="Aptos" w:hAnsi="Aptos" w:cs="Aptos"/>
          <w:b/>
          <w:bCs/>
        </w:rPr>
      </w:pPr>
      <w:r w:rsidRPr="4DD5512F">
        <w:rPr>
          <w:rFonts w:ascii="Aptos" w:eastAsia="Aptos" w:hAnsi="Aptos" w:cs="Aptos"/>
          <w:b/>
          <w:bCs/>
        </w:rPr>
        <w:t>Conflict Trends</w:t>
      </w:r>
      <w:commentRangeStart w:id="5"/>
      <w:commentRangeEnd w:id="5"/>
      <w:r w:rsidR="52D7FC33">
        <w:rPr>
          <w:rStyle w:val="CommentReference"/>
          <w:rFonts w:ascii="Aptos" w:eastAsia="Aptos" w:hAnsi="Aptos" w:cs="Aptos"/>
          <w:b/>
          <w:bCs/>
          <w:sz w:val="24"/>
          <w:szCs w:val="24"/>
        </w:rPr>
        <w:commentReference w:id="5"/>
      </w:r>
    </w:p>
    <w:p w14:paraId="5FA364FB" w14:textId="516B4FFE" w:rsidR="52D7FC33" w:rsidRDefault="0EEF9332" w:rsidP="4DD5512F">
      <w:pPr>
        <w:spacing w:line="276" w:lineRule="auto"/>
        <w:jc w:val="both"/>
        <w:rPr>
          <w:rFonts w:ascii="Aptos" w:eastAsia="Aptos" w:hAnsi="Aptos" w:cs="Aptos"/>
          <w:vertAlign w:val="superscript"/>
        </w:rPr>
      </w:pPr>
      <w:r w:rsidRPr="4DD5512F">
        <w:rPr>
          <w:rFonts w:ascii="Aptos" w:eastAsia="Aptos" w:hAnsi="Aptos" w:cs="Aptos"/>
        </w:rPr>
        <w:t>South Sudan's conflict follows three phases shaped by civil war and successive peace agreements. The 2016–2017 peak reached 4,855 fatalities at the height of SSPDF–SPLM-IO fighting. The Khartoum Declaration of September 2018 produced a steep decline. Between 1 January 2013 and the signing of Revitalised Agreement on the Resolution of the Conflict in the Republic of South Sudan (R-ARCSS) on 12 September 2018, there were conflict events in 718 distinct locations, compared to 1,720 between 13 September 2018 and 17 January 2025. South Sudan has experienced increasing violence in the wake of R-ARCSS, most of which is not straightforwardly connected to the recent civil war (2013-2018).  Warrap, Lakes, and Jonglei in the central belt of the country have been the most severely affected.</w:t>
      </w:r>
    </w:p>
    <w:p w14:paraId="28A85E57" w14:textId="41290278" w:rsidR="52D7FC33" w:rsidRDefault="7610D89A" w:rsidP="4DD5512F">
      <w:pPr>
        <w:spacing w:line="276" w:lineRule="auto"/>
        <w:jc w:val="both"/>
        <w:rPr>
          <w:rFonts w:ascii="Aptos" w:eastAsia="Aptos" w:hAnsi="Aptos" w:cs="Aptos"/>
          <w:vertAlign w:val="superscript"/>
        </w:rPr>
      </w:pPr>
      <w:r w:rsidRPr="456061A4">
        <w:rPr>
          <w:rFonts w:ascii="Aptos" w:eastAsia="Aptos" w:hAnsi="Aptos" w:cs="Aptos"/>
        </w:rPr>
        <w:t>From 2025, the conflict entered acute re-escalation where political tension and violence have significantly escalated since the beginning of 2025. Between December 2025 and January 2026, violence in Jonglei state alone reportedly killed at least 200 people, including no fewer than 40 civilians, while forcing over 230,000 to flee their homes in less than a month.</w:t>
      </w:r>
    </w:p>
    <w:p w14:paraId="4BBDA11F" w14:textId="4D3249B8" w:rsidR="4DD5512F" w:rsidRDefault="4DD5512F" w:rsidP="456061A4">
      <w:pPr>
        <w:spacing w:after="180" w:line="276" w:lineRule="auto"/>
        <w:jc w:val="both"/>
        <w:rPr>
          <w:rFonts w:ascii="Aptos" w:eastAsia="Aptos" w:hAnsi="Aptos" w:cs="Aptos"/>
          <w:color w:val="131314"/>
        </w:rPr>
      </w:pPr>
    </w:p>
    <w:p w14:paraId="5770228B" w14:textId="54BDFE0E" w:rsidR="52D7FC33" w:rsidRDefault="0EEF9332" w:rsidP="4DD5512F">
      <w:pPr>
        <w:spacing w:line="276" w:lineRule="auto"/>
        <w:jc w:val="both"/>
        <w:rPr>
          <w:rFonts w:hint="eastAsia"/>
        </w:rPr>
      </w:pPr>
      <w:r w:rsidRPr="4DD5512F">
        <w:rPr>
          <w:rFonts w:ascii="Aptos" w:eastAsia="Aptos" w:hAnsi="Aptos" w:cs="Aptos"/>
          <w:b/>
          <w:bCs/>
        </w:rPr>
        <w:t>Conflict-Intensive States</w:t>
      </w:r>
    </w:p>
    <w:p w14:paraId="3447B7BB" w14:textId="7146BFB2" w:rsidR="52D7FC33" w:rsidRDefault="0EEF9332" w:rsidP="4DD5512F">
      <w:pPr>
        <w:pStyle w:val="ListParagraph"/>
        <w:numPr>
          <w:ilvl w:val="0"/>
          <w:numId w:val="3"/>
        </w:numPr>
        <w:spacing w:after="0" w:line="276" w:lineRule="auto"/>
        <w:jc w:val="both"/>
        <w:rPr>
          <w:rFonts w:ascii="Aptos" w:eastAsia="Aptos" w:hAnsi="Aptos" w:cs="Aptos"/>
          <w:vertAlign w:val="superscript"/>
        </w:rPr>
      </w:pPr>
      <w:r w:rsidRPr="4DD5512F">
        <w:rPr>
          <w:rFonts w:ascii="Aptos" w:eastAsia="Aptos" w:hAnsi="Aptos" w:cs="Aptos"/>
          <w:b/>
          <w:bCs/>
        </w:rPr>
        <w:t>Jonglei</w:t>
      </w:r>
      <w:r w:rsidRPr="4DD5512F">
        <w:rPr>
          <w:rFonts w:ascii="Aptos" w:eastAsia="Aptos" w:hAnsi="Aptos" w:cs="Aptos"/>
        </w:rPr>
        <w:t>: Most conflict-intensive state by total events and fatalities. Site of large-scale Nuer–Dinka–Murle clashes and the epicentre of the 2025–2026 re-escalation.</w:t>
      </w:r>
    </w:p>
    <w:p w14:paraId="20EB8A36" w14:textId="74299C31" w:rsidR="52D7FC33" w:rsidRDefault="0EEF9332" w:rsidP="4DD5512F">
      <w:pPr>
        <w:pStyle w:val="ListParagraph"/>
        <w:numPr>
          <w:ilvl w:val="0"/>
          <w:numId w:val="3"/>
        </w:numPr>
        <w:spacing w:after="0" w:line="276" w:lineRule="auto"/>
        <w:jc w:val="both"/>
        <w:rPr>
          <w:rFonts w:ascii="Aptos" w:eastAsia="Aptos" w:hAnsi="Aptos" w:cs="Aptos"/>
          <w:vertAlign w:val="superscript"/>
        </w:rPr>
      </w:pPr>
      <w:r w:rsidRPr="4DD5512F">
        <w:rPr>
          <w:rFonts w:ascii="Aptos" w:eastAsia="Aptos" w:hAnsi="Aptos" w:cs="Aptos"/>
          <w:b/>
          <w:bCs/>
        </w:rPr>
        <w:t>Warrap</w:t>
      </w:r>
      <w:r w:rsidRPr="4DD5512F">
        <w:rPr>
          <w:rFonts w:ascii="Aptos" w:eastAsia="Aptos" w:hAnsi="Aptos" w:cs="Aptos"/>
        </w:rPr>
        <w:t>: Highest per-capita fatality rate among the top five states. ACLED documents it as an elite proxy war zone, where NSS–SSPDF factional competition transformed inter-clan raiding into organised proxy warfare, peaking in August 2020.</w:t>
      </w:r>
    </w:p>
    <w:p w14:paraId="1FAD48D2" w14:textId="3F1E679E" w:rsidR="52D7FC33" w:rsidRDefault="0EEF9332" w:rsidP="4DD5512F">
      <w:pPr>
        <w:pStyle w:val="ListParagraph"/>
        <w:numPr>
          <w:ilvl w:val="0"/>
          <w:numId w:val="3"/>
        </w:numPr>
        <w:spacing w:after="0" w:line="276" w:lineRule="auto"/>
        <w:jc w:val="both"/>
        <w:rPr>
          <w:rFonts w:ascii="Aptos" w:eastAsia="Aptos" w:hAnsi="Aptos" w:cs="Aptos"/>
          <w:vertAlign w:val="superscript"/>
        </w:rPr>
      </w:pPr>
      <w:r w:rsidRPr="4DD5512F">
        <w:rPr>
          <w:rFonts w:ascii="Aptos" w:eastAsia="Aptos" w:hAnsi="Aptos" w:cs="Aptos"/>
          <w:b/>
          <w:bCs/>
        </w:rPr>
        <w:t>Unity</w:t>
      </w:r>
      <w:r w:rsidRPr="4DD5512F">
        <w:rPr>
          <w:rFonts w:ascii="Aptos" w:eastAsia="Aptos" w:hAnsi="Aptos" w:cs="Aptos"/>
        </w:rPr>
        <w:t>: Between November 2021 and July 2022, ACLED recorded 110 armed clashes involving Haak Nuer and Dok Nuer militias in and around Leer County, resulting in over 290 fatalities. Adding to this unrest, historic flooding in 2019, 2021, and 2022 has transformed Unity State. The massive IDP camp in Bentiu houses over 100,000 people.</w:t>
      </w:r>
    </w:p>
    <w:p w14:paraId="2465B761" w14:textId="62AF627A" w:rsidR="3ED08C2C" w:rsidRDefault="3ED08C2C" w:rsidP="5AFD5635">
      <w:pPr>
        <w:spacing w:after="0" w:line="276" w:lineRule="auto"/>
        <w:jc w:val="both"/>
        <w:rPr>
          <w:rFonts w:ascii="Aptos" w:eastAsia="Aptos" w:hAnsi="Aptos" w:cs="Aptos"/>
          <w:vertAlign w:val="superscript"/>
        </w:rPr>
      </w:pPr>
    </w:p>
    <w:p w14:paraId="5602DD6A" w14:textId="7EDF280C" w:rsidR="5AFD5635" w:rsidRDefault="5AFD5635" w:rsidP="5AFD5635">
      <w:pPr>
        <w:spacing w:after="0" w:line="276" w:lineRule="auto"/>
        <w:jc w:val="both"/>
        <w:rPr>
          <w:rFonts w:ascii="Aptos" w:eastAsia="Aptos" w:hAnsi="Aptos" w:cs="Aptos"/>
          <w:vertAlign w:val="superscript"/>
        </w:rPr>
      </w:pPr>
    </w:p>
    <w:p w14:paraId="09558200" w14:textId="4C54E287" w:rsidR="5AFD5635" w:rsidRDefault="5AFD5635" w:rsidP="5AFD5635">
      <w:pPr>
        <w:spacing w:after="0" w:line="276" w:lineRule="auto"/>
        <w:jc w:val="both"/>
        <w:rPr>
          <w:rFonts w:ascii="Aptos" w:eastAsia="Aptos" w:hAnsi="Aptos" w:cs="Aptos"/>
          <w:vertAlign w:val="superscript"/>
        </w:rPr>
      </w:pPr>
    </w:p>
    <w:p w14:paraId="5A65A432" w14:textId="7DA8F20A" w:rsidR="315E3D24" w:rsidRDefault="315E3D24" w:rsidP="315E3D24">
      <w:pPr>
        <w:spacing w:after="0" w:line="276" w:lineRule="auto"/>
        <w:jc w:val="both"/>
        <w:rPr>
          <w:rFonts w:ascii="Aptos" w:eastAsia="Aptos" w:hAnsi="Aptos" w:cs="Aptos"/>
          <w:vertAlign w:val="superscript"/>
        </w:rPr>
      </w:pPr>
    </w:p>
    <w:p w14:paraId="0E52EE0C" w14:textId="6FA59300" w:rsidR="1AE1E173" w:rsidRDefault="1AE1E173" w:rsidP="1AE1E173">
      <w:pPr>
        <w:spacing w:after="0" w:line="276" w:lineRule="auto"/>
        <w:jc w:val="both"/>
        <w:rPr>
          <w:rFonts w:ascii="Aptos" w:eastAsia="Aptos" w:hAnsi="Aptos" w:cs="Aptos"/>
          <w:vertAlign w:val="superscript"/>
        </w:rPr>
      </w:pPr>
    </w:p>
    <w:p w14:paraId="4F6D0603" w14:textId="6A0EA9C0" w:rsidR="1AE1E173" w:rsidRDefault="1AE1E173" w:rsidP="1AE1E173">
      <w:pPr>
        <w:spacing w:after="0" w:line="276" w:lineRule="auto"/>
        <w:jc w:val="both"/>
        <w:rPr>
          <w:rFonts w:ascii="Aptos" w:eastAsia="Aptos" w:hAnsi="Aptos" w:cs="Aptos"/>
          <w:vertAlign w:val="superscript"/>
        </w:rPr>
      </w:pPr>
    </w:p>
    <w:p w14:paraId="111961B6" w14:textId="5A303F52" w:rsidR="1AE1E173" w:rsidRDefault="1AE1E173" w:rsidP="1AE1E173">
      <w:pPr>
        <w:spacing w:after="0" w:line="276" w:lineRule="auto"/>
        <w:jc w:val="both"/>
        <w:rPr>
          <w:rFonts w:ascii="Aptos" w:eastAsia="Aptos" w:hAnsi="Aptos" w:cs="Aptos"/>
          <w:vertAlign w:val="superscript"/>
        </w:rPr>
      </w:pPr>
    </w:p>
    <w:p w14:paraId="6388690B" w14:textId="0C18C1A1" w:rsidR="1AE1E173" w:rsidRDefault="1AE1E173" w:rsidP="1AE1E173">
      <w:pPr>
        <w:spacing w:after="0" w:line="276" w:lineRule="auto"/>
        <w:jc w:val="both"/>
        <w:rPr>
          <w:rFonts w:ascii="Aptos" w:eastAsia="Aptos" w:hAnsi="Aptos" w:cs="Aptos"/>
          <w:vertAlign w:val="superscript"/>
        </w:rPr>
      </w:pPr>
    </w:p>
    <w:p w14:paraId="76AD0F03" w14:textId="30D8B10C" w:rsidR="1AE1E173" w:rsidRDefault="1AE1E173" w:rsidP="1AE1E173">
      <w:pPr>
        <w:spacing w:after="0" w:line="276" w:lineRule="auto"/>
        <w:jc w:val="both"/>
        <w:rPr>
          <w:rFonts w:ascii="Aptos" w:eastAsia="Aptos" w:hAnsi="Aptos" w:cs="Aptos"/>
          <w:vertAlign w:val="superscript"/>
        </w:rPr>
      </w:pPr>
    </w:p>
    <w:p w14:paraId="5C1D756D" w14:textId="6BD428D0" w:rsidR="1AE1E173" w:rsidRDefault="1AE1E173" w:rsidP="1AE1E173">
      <w:pPr>
        <w:spacing w:after="0" w:line="276" w:lineRule="auto"/>
        <w:jc w:val="both"/>
        <w:rPr>
          <w:rFonts w:ascii="Aptos" w:eastAsia="Aptos" w:hAnsi="Aptos" w:cs="Aptos"/>
          <w:vertAlign w:val="superscript"/>
        </w:rPr>
      </w:pPr>
    </w:p>
    <w:p w14:paraId="14217C9D" w14:textId="00C55E85" w:rsidR="0E816CC6" w:rsidRDefault="0E816CC6" w:rsidP="0E816CC6">
      <w:pPr>
        <w:spacing w:after="0" w:line="276" w:lineRule="auto"/>
        <w:jc w:val="both"/>
        <w:rPr>
          <w:rFonts w:ascii="Aptos" w:eastAsia="Aptos" w:hAnsi="Aptos" w:cs="Aptos"/>
          <w:vertAlign w:val="superscript"/>
        </w:rPr>
      </w:pPr>
    </w:p>
    <w:p w14:paraId="434B803E" w14:textId="08CDCCB8" w:rsidR="0E816CC6" w:rsidRDefault="0E816CC6" w:rsidP="0E816CC6">
      <w:pPr>
        <w:spacing w:after="0" w:line="276" w:lineRule="auto"/>
        <w:jc w:val="both"/>
        <w:rPr>
          <w:rFonts w:ascii="Aptos" w:eastAsia="Aptos" w:hAnsi="Aptos" w:cs="Aptos"/>
          <w:vertAlign w:val="superscript"/>
        </w:rPr>
      </w:pPr>
    </w:p>
    <w:p w14:paraId="017DCF01" w14:textId="75F13254" w:rsidR="0E816CC6" w:rsidRDefault="0E816CC6" w:rsidP="0E816CC6">
      <w:pPr>
        <w:spacing w:after="0" w:line="276" w:lineRule="auto"/>
        <w:jc w:val="both"/>
        <w:rPr>
          <w:rFonts w:ascii="Aptos" w:eastAsia="Aptos" w:hAnsi="Aptos" w:cs="Aptos"/>
          <w:vertAlign w:val="superscript"/>
        </w:rPr>
      </w:pPr>
    </w:p>
    <w:p w14:paraId="1992309F" w14:textId="7D250D1D" w:rsidR="0E816CC6" w:rsidRDefault="4FE40C78" w:rsidP="0E816CC6">
      <w:pPr>
        <w:spacing w:after="0" w:line="276" w:lineRule="auto"/>
        <w:jc w:val="both"/>
      </w:pPr>
      <w:r>
        <w:rPr>
          <w:noProof/>
        </w:rPr>
        <w:drawing>
          <wp:inline distT="0" distB="0" distL="0" distR="0" wp14:anchorId="2CC733AA" wp14:editId="4B0258FF">
            <wp:extent cx="4085126" cy="7586663"/>
            <wp:effectExtent l="0" t="0" r="0" b="0"/>
            <wp:docPr id="2038263729" name="drawing">
              <a:extLst xmlns:a="http://schemas.openxmlformats.org/drawingml/2006/main">
                <a:ext uri="{FF2B5EF4-FFF2-40B4-BE49-F238E27FC236}">
                  <a16:creationId xmlns:a16="http://schemas.microsoft.com/office/drawing/2014/main" id="{2B02B25E-DE3E-4CFA-B666-2DEC184EAB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63729" name="Picture 2038263729"/>
                    <pic:cNvPicPr/>
                  </pic:nvPicPr>
                  <pic:blipFill>
                    <a:blip r:embed="rId19">
                      <a:extLst>
                        <a:ext uri="{28A0092B-C50C-407E-A947-70E740481C1C}">
                          <a14:useLocalDpi xmlns:a14="http://schemas.microsoft.com/office/drawing/2010/main"/>
                        </a:ext>
                      </a:extLst>
                    </a:blip>
                    <a:stretch>
                      <a:fillRect/>
                    </a:stretch>
                  </pic:blipFill>
                  <pic:spPr>
                    <a:xfrm>
                      <a:off x="0" y="0"/>
                      <a:ext cx="4085126" cy="7586663"/>
                    </a:xfrm>
                    <a:prstGeom prst="rect">
                      <a:avLst/>
                    </a:prstGeom>
                  </pic:spPr>
                </pic:pic>
              </a:graphicData>
            </a:graphic>
          </wp:inline>
        </w:drawing>
      </w:r>
    </w:p>
    <w:p w14:paraId="627451B0" w14:textId="6B69046D" w:rsidR="52D7FC33" w:rsidRDefault="114EF7A5" w:rsidP="7A03ACC9">
      <w:pPr>
        <w:spacing w:after="0" w:line="276" w:lineRule="auto"/>
        <w:jc w:val="both"/>
        <w:rPr>
          <w:rFonts w:hint="eastAsia"/>
        </w:rPr>
      </w:pPr>
      <w:r>
        <w:rPr>
          <w:noProof/>
        </w:rPr>
        <w:drawing>
          <wp:inline distT="0" distB="0" distL="0" distR="0" wp14:anchorId="6D7D33E4" wp14:editId="762EA24C">
            <wp:extent cx="4685038" cy="8166100"/>
            <wp:effectExtent l="0" t="0" r="0" b="0"/>
            <wp:docPr id="264607773" name="drawing">
              <a:extLst xmlns:a="http://schemas.openxmlformats.org/drawingml/2006/main">
                <a:ext uri="{FF2B5EF4-FFF2-40B4-BE49-F238E27FC236}">
                  <a16:creationId xmlns:a16="http://schemas.microsoft.com/office/drawing/2014/main" id="{1648D2CD-8305-407A-8A24-4BFE7EFCA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7773" name="Picture 264607773"/>
                    <pic:cNvPicPr/>
                  </pic:nvPicPr>
                  <pic:blipFill>
                    <a:blip r:embed="rId20">
                      <a:extLst>
                        <a:ext uri="{28A0092B-C50C-407E-A947-70E740481C1C}">
                          <a14:useLocalDpi xmlns:a14="http://schemas.microsoft.com/office/drawing/2010/main"/>
                        </a:ext>
                      </a:extLst>
                    </a:blip>
                    <a:stretch>
                      <a:fillRect/>
                    </a:stretch>
                  </pic:blipFill>
                  <pic:spPr>
                    <a:xfrm>
                      <a:off x="0" y="0"/>
                      <a:ext cx="4685038" cy="8166100"/>
                    </a:xfrm>
                    <a:prstGeom prst="rect">
                      <a:avLst/>
                    </a:prstGeom>
                  </pic:spPr>
                </pic:pic>
              </a:graphicData>
            </a:graphic>
          </wp:inline>
        </w:drawing>
      </w:r>
    </w:p>
    <w:sectPr w:rsidR="52D7FC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a Dogan" w:date="2026-05-22T12:36:00Z" w:initials="ED">
    <w:p w14:paraId="58C51852" w14:textId="1555222B" w:rsidR="006078DC" w:rsidRDefault="006078DC">
      <w:pPr>
        <w:pStyle w:val="CommentText"/>
      </w:pPr>
      <w:r>
        <w:rPr>
          <w:rStyle w:val="CommentReference"/>
        </w:rPr>
        <w:annotationRef/>
      </w:r>
      <w:r w:rsidRPr="271C4CDC">
        <w:t xml:space="preserve">Display with selection from 3 options </w:t>
      </w:r>
    </w:p>
  </w:comment>
  <w:comment w:id="1" w:author="Ela Dogan" w:date="2026-05-18T18:31:00Z" w:initials="ED">
    <w:p w14:paraId="32AB72A7" w14:textId="034E9A44" w:rsidR="009C1F71" w:rsidRDefault="009C1F71">
      <w:pPr>
        <w:rPr>
          <w:rFonts w:hint="eastAsia"/>
        </w:rPr>
      </w:pPr>
      <w:r>
        <w:annotationRef/>
      </w:r>
      <w:r w:rsidRPr="6AC035A9">
        <w:t>Time series graph, right after this title</w:t>
      </w:r>
    </w:p>
  </w:comment>
  <w:comment w:id="2" w:author="Ela Dogan" w:date="2026-05-22T14:27:00Z" w:initials="ED">
    <w:p w14:paraId="30FC4040" w14:textId="3D36F10F" w:rsidR="006078DC" w:rsidRDefault="006078DC">
      <w:pPr>
        <w:pStyle w:val="CommentText"/>
      </w:pPr>
      <w:r>
        <w:rPr>
          <w:rStyle w:val="CommentReference"/>
        </w:rPr>
        <w:annotationRef/>
      </w:r>
      <w:r w:rsidRPr="3D92E1B0">
        <w:t>Better dashboard UI idea</w:t>
      </w:r>
    </w:p>
    <w:p w14:paraId="55C34B37" w14:textId="0C9A614B" w:rsidR="006078DC" w:rsidRDefault="006078DC">
      <w:pPr>
        <w:pStyle w:val="CommentText"/>
      </w:pPr>
    </w:p>
  </w:comment>
  <w:comment w:id="3" w:author="Ela Dogan" w:date="2026-05-22T12:19:00Z" w:initials="ED">
    <w:p w14:paraId="743B59FB" w14:textId="4AA6A9B2" w:rsidR="006078DC" w:rsidRDefault="006078DC">
      <w:pPr>
        <w:pStyle w:val="CommentText"/>
      </w:pPr>
      <w:r>
        <w:rPr>
          <w:rStyle w:val="CommentReference"/>
        </w:rPr>
        <w:annotationRef/>
      </w:r>
      <w:r w:rsidRPr="7F07C3A7">
        <w:t>Dashboard UI idea for all three countries. Please put the conflict time series graphs under the "Conflict Trends"</w:t>
      </w:r>
    </w:p>
  </w:comment>
  <w:comment w:id="4" w:author="Ela Dogan" w:date="1900-01-01T00:00:00Z" w:initials="ED">
    <w:p w14:paraId="7B98532A" w14:textId="30066C23" w:rsidR="009C1F71" w:rsidRDefault="009C1F71">
      <w:pPr>
        <w:rPr>
          <w:rFonts w:hint="eastAsia"/>
        </w:rPr>
      </w:pPr>
      <w:r>
        <w:annotationRef/>
      </w:r>
      <w:r w:rsidRPr="7A8FE12F">
        <w:t>Time series graph, right after this title</w:t>
      </w:r>
    </w:p>
  </w:comment>
  <w:comment w:id="5" w:author="Ela Dogan" w:date="2026-05-18T18:31:00Z" w:initials="ED">
    <w:p w14:paraId="5C74E7FE" w14:textId="1AC02DA1" w:rsidR="009C1F71" w:rsidRDefault="009C1F71">
      <w:pPr>
        <w:rPr>
          <w:rFonts w:hint="eastAsia"/>
        </w:rPr>
      </w:pPr>
      <w:r>
        <w:annotationRef/>
      </w:r>
      <w:r w:rsidRPr="44280180">
        <w:t>Time series graph, right after this title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C51852" w15:done="0"/>
  <w15:commentEx w15:paraId="32AB72A7" w15:done="0"/>
  <w15:commentEx w15:paraId="55C34B37" w15:done="0"/>
  <w15:commentEx w15:paraId="743B59FB" w15:done="0"/>
  <w15:commentEx w15:paraId="7B98532A" w15:done="0"/>
  <w15:commentEx w15:paraId="5C74E7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20437C" w16cex:dateUtc="2026-05-22T09:36:00Z"/>
  <w16cex:commentExtensible w16cex:durableId="58F9FD55" w16cex:dateUtc="2026-05-18T15:31:00Z"/>
  <w16cex:commentExtensible w16cex:durableId="7F989DF3" w16cex:dateUtc="2026-05-22T11:27:00Z"/>
  <w16cex:commentExtensible w16cex:durableId="41DBA198" w16cex:dateUtc="2026-05-22T09:19:00Z"/>
  <w16cex:commentExtensible w16cex:durableId="1327A69D" w16cex:dateUtc="2026-05-18T15:31:00Z"/>
  <w16cex:commentExtensible w16cex:durableId="58880F6D" w16cex:dateUtc="2026-05-18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C51852" w16cid:durableId="5E20437C"/>
  <w16cid:commentId w16cid:paraId="32AB72A7" w16cid:durableId="58F9FD55"/>
  <w16cid:commentId w16cid:paraId="55C34B37" w16cid:durableId="7F989DF3"/>
  <w16cid:commentId w16cid:paraId="743B59FB" w16cid:durableId="41DBA198"/>
  <w16cid:commentId w16cid:paraId="7B98532A" w16cid:durableId="1327A69D"/>
  <w16cid:commentId w16cid:paraId="5C74E7FE" w16cid:durableId="58880F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ato">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0140"/>
    <w:multiLevelType w:val="hybridMultilevel"/>
    <w:tmpl w:val="FFFFFFFF"/>
    <w:lvl w:ilvl="0" w:tplc="B39257F2">
      <w:start w:val="1"/>
      <w:numFmt w:val="bullet"/>
      <w:lvlText w:val=""/>
      <w:lvlJc w:val="left"/>
      <w:pPr>
        <w:ind w:left="720" w:hanging="360"/>
      </w:pPr>
      <w:rPr>
        <w:rFonts w:ascii="Symbol" w:hAnsi="Symbol" w:hint="default"/>
      </w:rPr>
    </w:lvl>
    <w:lvl w:ilvl="1" w:tplc="76446DE8">
      <w:start w:val="1"/>
      <w:numFmt w:val="bullet"/>
      <w:lvlText w:val="o"/>
      <w:lvlJc w:val="left"/>
      <w:pPr>
        <w:ind w:left="1440" w:hanging="360"/>
      </w:pPr>
      <w:rPr>
        <w:rFonts w:ascii="Courier New" w:hAnsi="Courier New" w:hint="default"/>
      </w:rPr>
    </w:lvl>
    <w:lvl w:ilvl="2" w:tplc="D6644832">
      <w:start w:val="1"/>
      <w:numFmt w:val="bullet"/>
      <w:lvlText w:val=""/>
      <w:lvlJc w:val="left"/>
      <w:pPr>
        <w:ind w:left="2160" w:hanging="360"/>
      </w:pPr>
      <w:rPr>
        <w:rFonts w:ascii="Wingdings" w:hAnsi="Wingdings" w:hint="default"/>
      </w:rPr>
    </w:lvl>
    <w:lvl w:ilvl="3" w:tplc="21702048">
      <w:start w:val="1"/>
      <w:numFmt w:val="bullet"/>
      <w:lvlText w:val=""/>
      <w:lvlJc w:val="left"/>
      <w:pPr>
        <w:ind w:left="2880" w:hanging="360"/>
      </w:pPr>
      <w:rPr>
        <w:rFonts w:ascii="Symbol" w:hAnsi="Symbol" w:hint="default"/>
      </w:rPr>
    </w:lvl>
    <w:lvl w:ilvl="4" w:tplc="CCB48DC2">
      <w:start w:val="1"/>
      <w:numFmt w:val="bullet"/>
      <w:lvlText w:val="o"/>
      <w:lvlJc w:val="left"/>
      <w:pPr>
        <w:ind w:left="3600" w:hanging="360"/>
      </w:pPr>
      <w:rPr>
        <w:rFonts w:ascii="Courier New" w:hAnsi="Courier New" w:hint="default"/>
      </w:rPr>
    </w:lvl>
    <w:lvl w:ilvl="5" w:tplc="EFA405C0">
      <w:start w:val="1"/>
      <w:numFmt w:val="bullet"/>
      <w:lvlText w:val=""/>
      <w:lvlJc w:val="left"/>
      <w:pPr>
        <w:ind w:left="4320" w:hanging="360"/>
      </w:pPr>
      <w:rPr>
        <w:rFonts w:ascii="Wingdings" w:hAnsi="Wingdings" w:hint="default"/>
      </w:rPr>
    </w:lvl>
    <w:lvl w:ilvl="6" w:tplc="00CE343E">
      <w:start w:val="1"/>
      <w:numFmt w:val="bullet"/>
      <w:lvlText w:val=""/>
      <w:lvlJc w:val="left"/>
      <w:pPr>
        <w:ind w:left="5040" w:hanging="360"/>
      </w:pPr>
      <w:rPr>
        <w:rFonts w:ascii="Symbol" w:hAnsi="Symbol" w:hint="default"/>
      </w:rPr>
    </w:lvl>
    <w:lvl w:ilvl="7" w:tplc="B462BA7C">
      <w:start w:val="1"/>
      <w:numFmt w:val="bullet"/>
      <w:lvlText w:val="o"/>
      <w:lvlJc w:val="left"/>
      <w:pPr>
        <w:ind w:left="5760" w:hanging="360"/>
      </w:pPr>
      <w:rPr>
        <w:rFonts w:ascii="Courier New" w:hAnsi="Courier New" w:hint="default"/>
      </w:rPr>
    </w:lvl>
    <w:lvl w:ilvl="8" w:tplc="D424F2FE">
      <w:start w:val="1"/>
      <w:numFmt w:val="bullet"/>
      <w:lvlText w:val=""/>
      <w:lvlJc w:val="left"/>
      <w:pPr>
        <w:ind w:left="6480" w:hanging="360"/>
      </w:pPr>
      <w:rPr>
        <w:rFonts w:ascii="Wingdings" w:hAnsi="Wingdings" w:hint="default"/>
      </w:rPr>
    </w:lvl>
  </w:abstractNum>
  <w:abstractNum w:abstractNumId="1" w15:restartNumberingAfterBreak="0">
    <w:nsid w:val="1791CA4C"/>
    <w:multiLevelType w:val="hybridMultilevel"/>
    <w:tmpl w:val="FFFFFFFF"/>
    <w:lvl w:ilvl="0" w:tplc="DBEC99AC">
      <w:start w:val="1"/>
      <w:numFmt w:val="bullet"/>
      <w:lvlText w:val=""/>
      <w:lvlJc w:val="left"/>
      <w:pPr>
        <w:ind w:left="720" w:hanging="360"/>
      </w:pPr>
      <w:rPr>
        <w:rFonts w:ascii="Symbol" w:hAnsi="Symbol" w:hint="default"/>
      </w:rPr>
    </w:lvl>
    <w:lvl w:ilvl="1" w:tplc="CD606A74">
      <w:start w:val="1"/>
      <w:numFmt w:val="bullet"/>
      <w:lvlText w:val="o"/>
      <w:lvlJc w:val="left"/>
      <w:pPr>
        <w:ind w:left="1440" w:hanging="360"/>
      </w:pPr>
      <w:rPr>
        <w:rFonts w:ascii="Courier New" w:hAnsi="Courier New" w:hint="default"/>
      </w:rPr>
    </w:lvl>
    <w:lvl w:ilvl="2" w:tplc="6D1E98EA">
      <w:start w:val="1"/>
      <w:numFmt w:val="bullet"/>
      <w:lvlText w:val=""/>
      <w:lvlJc w:val="left"/>
      <w:pPr>
        <w:ind w:left="2160" w:hanging="360"/>
      </w:pPr>
      <w:rPr>
        <w:rFonts w:ascii="Wingdings" w:hAnsi="Wingdings" w:hint="default"/>
      </w:rPr>
    </w:lvl>
    <w:lvl w:ilvl="3" w:tplc="BDF4E332">
      <w:start w:val="1"/>
      <w:numFmt w:val="bullet"/>
      <w:lvlText w:val=""/>
      <w:lvlJc w:val="left"/>
      <w:pPr>
        <w:ind w:left="2880" w:hanging="360"/>
      </w:pPr>
      <w:rPr>
        <w:rFonts w:ascii="Symbol" w:hAnsi="Symbol" w:hint="default"/>
      </w:rPr>
    </w:lvl>
    <w:lvl w:ilvl="4" w:tplc="805EF790">
      <w:start w:val="1"/>
      <w:numFmt w:val="bullet"/>
      <w:lvlText w:val="o"/>
      <w:lvlJc w:val="left"/>
      <w:pPr>
        <w:ind w:left="3600" w:hanging="360"/>
      </w:pPr>
      <w:rPr>
        <w:rFonts w:ascii="Courier New" w:hAnsi="Courier New" w:hint="default"/>
      </w:rPr>
    </w:lvl>
    <w:lvl w:ilvl="5" w:tplc="DB780E18">
      <w:start w:val="1"/>
      <w:numFmt w:val="bullet"/>
      <w:lvlText w:val=""/>
      <w:lvlJc w:val="left"/>
      <w:pPr>
        <w:ind w:left="4320" w:hanging="360"/>
      </w:pPr>
      <w:rPr>
        <w:rFonts w:ascii="Wingdings" w:hAnsi="Wingdings" w:hint="default"/>
      </w:rPr>
    </w:lvl>
    <w:lvl w:ilvl="6" w:tplc="2A80D566">
      <w:start w:val="1"/>
      <w:numFmt w:val="bullet"/>
      <w:lvlText w:val=""/>
      <w:lvlJc w:val="left"/>
      <w:pPr>
        <w:ind w:left="5040" w:hanging="360"/>
      </w:pPr>
      <w:rPr>
        <w:rFonts w:ascii="Symbol" w:hAnsi="Symbol" w:hint="default"/>
      </w:rPr>
    </w:lvl>
    <w:lvl w:ilvl="7" w:tplc="25CEA928">
      <w:start w:val="1"/>
      <w:numFmt w:val="bullet"/>
      <w:lvlText w:val="o"/>
      <w:lvlJc w:val="left"/>
      <w:pPr>
        <w:ind w:left="5760" w:hanging="360"/>
      </w:pPr>
      <w:rPr>
        <w:rFonts w:ascii="Courier New" w:hAnsi="Courier New" w:hint="default"/>
      </w:rPr>
    </w:lvl>
    <w:lvl w:ilvl="8" w:tplc="D8B65690">
      <w:start w:val="1"/>
      <w:numFmt w:val="bullet"/>
      <w:lvlText w:val=""/>
      <w:lvlJc w:val="left"/>
      <w:pPr>
        <w:ind w:left="6480" w:hanging="360"/>
      </w:pPr>
      <w:rPr>
        <w:rFonts w:ascii="Wingdings" w:hAnsi="Wingdings" w:hint="default"/>
      </w:rPr>
    </w:lvl>
  </w:abstractNum>
  <w:abstractNum w:abstractNumId="2" w15:restartNumberingAfterBreak="0">
    <w:nsid w:val="19BB2897"/>
    <w:multiLevelType w:val="hybridMultilevel"/>
    <w:tmpl w:val="FFFFFFFF"/>
    <w:lvl w:ilvl="0" w:tplc="27B240D4">
      <w:start w:val="1"/>
      <w:numFmt w:val="bullet"/>
      <w:lvlText w:val=""/>
      <w:lvlJc w:val="left"/>
      <w:pPr>
        <w:ind w:left="720" w:hanging="360"/>
      </w:pPr>
      <w:rPr>
        <w:rFonts w:ascii="Symbol" w:hAnsi="Symbol" w:hint="default"/>
      </w:rPr>
    </w:lvl>
    <w:lvl w:ilvl="1" w:tplc="73F278F2">
      <w:start w:val="1"/>
      <w:numFmt w:val="bullet"/>
      <w:lvlText w:val="o"/>
      <w:lvlJc w:val="left"/>
      <w:pPr>
        <w:ind w:left="1440" w:hanging="360"/>
      </w:pPr>
      <w:rPr>
        <w:rFonts w:ascii="Courier New" w:hAnsi="Courier New" w:hint="default"/>
      </w:rPr>
    </w:lvl>
    <w:lvl w:ilvl="2" w:tplc="3F421F30">
      <w:start w:val="1"/>
      <w:numFmt w:val="bullet"/>
      <w:lvlText w:val=""/>
      <w:lvlJc w:val="left"/>
      <w:pPr>
        <w:ind w:left="2160" w:hanging="360"/>
      </w:pPr>
      <w:rPr>
        <w:rFonts w:ascii="Wingdings" w:hAnsi="Wingdings" w:hint="default"/>
      </w:rPr>
    </w:lvl>
    <w:lvl w:ilvl="3" w:tplc="CF7C5178">
      <w:start w:val="1"/>
      <w:numFmt w:val="bullet"/>
      <w:lvlText w:val=""/>
      <w:lvlJc w:val="left"/>
      <w:pPr>
        <w:ind w:left="2880" w:hanging="360"/>
      </w:pPr>
      <w:rPr>
        <w:rFonts w:ascii="Symbol" w:hAnsi="Symbol" w:hint="default"/>
      </w:rPr>
    </w:lvl>
    <w:lvl w:ilvl="4" w:tplc="F580E5B6">
      <w:start w:val="1"/>
      <w:numFmt w:val="bullet"/>
      <w:lvlText w:val="o"/>
      <w:lvlJc w:val="left"/>
      <w:pPr>
        <w:ind w:left="3600" w:hanging="360"/>
      </w:pPr>
      <w:rPr>
        <w:rFonts w:ascii="Courier New" w:hAnsi="Courier New" w:hint="default"/>
      </w:rPr>
    </w:lvl>
    <w:lvl w:ilvl="5" w:tplc="25D0FB40">
      <w:start w:val="1"/>
      <w:numFmt w:val="bullet"/>
      <w:lvlText w:val=""/>
      <w:lvlJc w:val="left"/>
      <w:pPr>
        <w:ind w:left="4320" w:hanging="360"/>
      </w:pPr>
      <w:rPr>
        <w:rFonts w:ascii="Wingdings" w:hAnsi="Wingdings" w:hint="default"/>
      </w:rPr>
    </w:lvl>
    <w:lvl w:ilvl="6" w:tplc="5B34313E">
      <w:start w:val="1"/>
      <w:numFmt w:val="bullet"/>
      <w:lvlText w:val=""/>
      <w:lvlJc w:val="left"/>
      <w:pPr>
        <w:ind w:left="5040" w:hanging="360"/>
      </w:pPr>
      <w:rPr>
        <w:rFonts w:ascii="Symbol" w:hAnsi="Symbol" w:hint="default"/>
      </w:rPr>
    </w:lvl>
    <w:lvl w:ilvl="7" w:tplc="81E46C08">
      <w:start w:val="1"/>
      <w:numFmt w:val="bullet"/>
      <w:lvlText w:val="o"/>
      <w:lvlJc w:val="left"/>
      <w:pPr>
        <w:ind w:left="5760" w:hanging="360"/>
      </w:pPr>
      <w:rPr>
        <w:rFonts w:ascii="Courier New" w:hAnsi="Courier New" w:hint="default"/>
      </w:rPr>
    </w:lvl>
    <w:lvl w:ilvl="8" w:tplc="0822391C">
      <w:start w:val="1"/>
      <w:numFmt w:val="bullet"/>
      <w:lvlText w:val=""/>
      <w:lvlJc w:val="left"/>
      <w:pPr>
        <w:ind w:left="6480" w:hanging="360"/>
      </w:pPr>
      <w:rPr>
        <w:rFonts w:ascii="Wingdings" w:hAnsi="Wingdings" w:hint="default"/>
      </w:rPr>
    </w:lvl>
  </w:abstractNum>
  <w:abstractNum w:abstractNumId="3" w15:restartNumberingAfterBreak="0">
    <w:nsid w:val="2109B3FD"/>
    <w:multiLevelType w:val="hybridMultilevel"/>
    <w:tmpl w:val="FFFFFFFF"/>
    <w:lvl w:ilvl="0" w:tplc="A9C8D67E">
      <w:start w:val="1"/>
      <w:numFmt w:val="bullet"/>
      <w:lvlText w:val=""/>
      <w:lvlJc w:val="left"/>
      <w:pPr>
        <w:ind w:left="720" w:hanging="360"/>
      </w:pPr>
      <w:rPr>
        <w:rFonts w:ascii="Symbol" w:hAnsi="Symbol" w:hint="default"/>
      </w:rPr>
    </w:lvl>
    <w:lvl w:ilvl="1" w:tplc="5816B238">
      <w:start w:val="1"/>
      <w:numFmt w:val="bullet"/>
      <w:lvlText w:val="o"/>
      <w:lvlJc w:val="left"/>
      <w:pPr>
        <w:ind w:left="1440" w:hanging="360"/>
      </w:pPr>
      <w:rPr>
        <w:rFonts w:ascii="Courier New" w:hAnsi="Courier New" w:hint="default"/>
      </w:rPr>
    </w:lvl>
    <w:lvl w:ilvl="2" w:tplc="A916245A">
      <w:start w:val="1"/>
      <w:numFmt w:val="bullet"/>
      <w:lvlText w:val=""/>
      <w:lvlJc w:val="left"/>
      <w:pPr>
        <w:ind w:left="2160" w:hanging="360"/>
      </w:pPr>
      <w:rPr>
        <w:rFonts w:ascii="Wingdings" w:hAnsi="Wingdings" w:hint="default"/>
      </w:rPr>
    </w:lvl>
    <w:lvl w:ilvl="3" w:tplc="F3E8CCE8">
      <w:start w:val="1"/>
      <w:numFmt w:val="bullet"/>
      <w:lvlText w:val=""/>
      <w:lvlJc w:val="left"/>
      <w:pPr>
        <w:ind w:left="2880" w:hanging="360"/>
      </w:pPr>
      <w:rPr>
        <w:rFonts w:ascii="Symbol" w:hAnsi="Symbol" w:hint="default"/>
      </w:rPr>
    </w:lvl>
    <w:lvl w:ilvl="4" w:tplc="5F6E7B9A">
      <w:start w:val="1"/>
      <w:numFmt w:val="bullet"/>
      <w:lvlText w:val="o"/>
      <w:lvlJc w:val="left"/>
      <w:pPr>
        <w:ind w:left="3600" w:hanging="360"/>
      </w:pPr>
      <w:rPr>
        <w:rFonts w:ascii="Courier New" w:hAnsi="Courier New" w:hint="default"/>
      </w:rPr>
    </w:lvl>
    <w:lvl w:ilvl="5" w:tplc="4372CCE4">
      <w:start w:val="1"/>
      <w:numFmt w:val="bullet"/>
      <w:lvlText w:val=""/>
      <w:lvlJc w:val="left"/>
      <w:pPr>
        <w:ind w:left="4320" w:hanging="360"/>
      </w:pPr>
      <w:rPr>
        <w:rFonts w:ascii="Wingdings" w:hAnsi="Wingdings" w:hint="default"/>
      </w:rPr>
    </w:lvl>
    <w:lvl w:ilvl="6" w:tplc="03A8864A">
      <w:start w:val="1"/>
      <w:numFmt w:val="bullet"/>
      <w:lvlText w:val=""/>
      <w:lvlJc w:val="left"/>
      <w:pPr>
        <w:ind w:left="5040" w:hanging="360"/>
      </w:pPr>
      <w:rPr>
        <w:rFonts w:ascii="Symbol" w:hAnsi="Symbol" w:hint="default"/>
      </w:rPr>
    </w:lvl>
    <w:lvl w:ilvl="7" w:tplc="4B8A8532">
      <w:start w:val="1"/>
      <w:numFmt w:val="bullet"/>
      <w:lvlText w:val="o"/>
      <w:lvlJc w:val="left"/>
      <w:pPr>
        <w:ind w:left="5760" w:hanging="360"/>
      </w:pPr>
      <w:rPr>
        <w:rFonts w:ascii="Courier New" w:hAnsi="Courier New" w:hint="default"/>
      </w:rPr>
    </w:lvl>
    <w:lvl w:ilvl="8" w:tplc="52D8B3E6">
      <w:start w:val="1"/>
      <w:numFmt w:val="bullet"/>
      <w:lvlText w:val=""/>
      <w:lvlJc w:val="left"/>
      <w:pPr>
        <w:ind w:left="6480" w:hanging="360"/>
      </w:pPr>
      <w:rPr>
        <w:rFonts w:ascii="Wingdings" w:hAnsi="Wingdings" w:hint="default"/>
      </w:rPr>
    </w:lvl>
  </w:abstractNum>
  <w:abstractNum w:abstractNumId="4" w15:restartNumberingAfterBreak="0">
    <w:nsid w:val="3F560FD9"/>
    <w:multiLevelType w:val="hybridMultilevel"/>
    <w:tmpl w:val="FFFFFFFF"/>
    <w:lvl w:ilvl="0" w:tplc="692E9852">
      <w:start w:val="1"/>
      <w:numFmt w:val="bullet"/>
      <w:lvlText w:val=""/>
      <w:lvlJc w:val="left"/>
      <w:pPr>
        <w:ind w:left="720" w:hanging="360"/>
      </w:pPr>
      <w:rPr>
        <w:rFonts w:ascii="Symbol" w:hAnsi="Symbol" w:hint="default"/>
      </w:rPr>
    </w:lvl>
    <w:lvl w:ilvl="1" w:tplc="1944B510">
      <w:start w:val="1"/>
      <w:numFmt w:val="bullet"/>
      <w:lvlText w:val="o"/>
      <w:lvlJc w:val="left"/>
      <w:pPr>
        <w:ind w:left="1440" w:hanging="360"/>
      </w:pPr>
      <w:rPr>
        <w:rFonts w:ascii="Courier New" w:hAnsi="Courier New" w:hint="default"/>
      </w:rPr>
    </w:lvl>
    <w:lvl w:ilvl="2" w:tplc="97EA88FA">
      <w:start w:val="1"/>
      <w:numFmt w:val="bullet"/>
      <w:lvlText w:val=""/>
      <w:lvlJc w:val="left"/>
      <w:pPr>
        <w:ind w:left="2160" w:hanging="360"/>
      </w:pPr>
      <w:rPr>
        <w:rFonts w:ascii="Wingdings" w:hAnsi="Wingdings" w:hint="default"/>
      </w:rPr>
    </w:lvl>
    <w:lvl w:ilvl="3" w:tplc="419451A4">
      <w:start w:val="1"/>
      <w:numFmt w:val="bullet"/>
      <w:lvlText w:val=""/>
      <w:lvlJc w:val="left"/>
      <w:pPr>
        <w:ind w:left="2880" w:hanging="360"/>
      </w:pPr>
      <w:rPr>
        <w:rFonts w:ascii="Symbol" w:hAnsi="Symbol" w:hint="default"/>
      </w:rPr>
    </w:lvl>
    <w:lvl w:ilvl="4" w:tplc="70B8A83E">
      <w:start w:val="1"/>
      <w:numFmt w:val="bullet"/>
      <w:lvlText w:val="o"/>
      <w:lvlJc w:val="left"/>
      <w:pPr>
        <w:ind w:left="3600" w:hanging="360"/>
      </w:pPr>
      <w:rPr>
        <w:rFonts w:ascii="Courier New" w:hAnsi="Courier New" w:hint="default"/>
      </w:rPr>
    </w:lvl>
    <w:lvl w:ilvl="5" w:tplc="05A4D434">
      <w:start w:val="1"/>
      <w:numFmt w:val="bullet"/>
      <w:lvlText w:val=""/>
      <w:lvlJc w:val="left"/>
      <w:pPr>
        <w:ind w:left="4320" w:hanging="360"/>
      </w:pPr>
      <w:rPr>
        <w:rFonts w:ascii="Wingdings" w:hAnsi="Wingdings" w:hint="default"/>
      </w:rPr>
    </w:lvl>
    <w:lvl w:ilvl="6" w:tplc="606A3FC8">
      <w:start w:val="1"/>
      <w:numFmt w:val="bullet"/>
      <w:lvlText w:val=""/>
      <w:lvlJc w:val="left"/>
      <w:pPr>
        <w:ind w:left="5040" w:hanging="360"/>
      </w:pPr>
      <w:rPr>
        <w:rFonts w:ascii="Symbol" w:hAnsi="Symbol" w:hint="default"/>
      </w:rPr>
    </w:lvl>
    <w:lvl w:ilvl="7" w:tplc="38744A62">
      <w:start w:val="1"/>
      <w:numFmt w:val="bullet"/>
      <w:lvlText w:val="o"/>
      <w:lvlJc w:val="left"/>
      <w:pPr>
        <w:ind w:left="5760" w:hanging="360"/>
      </w:pPr>
      <w:rPr>
        <w:rFonts w:ascii="Courier New" w:hAnsi="Courier New" w:hint="default"/>
      </w:rPr>
    </w:lvl>
    <w:lvl w:ilvl="8" w:tplc="F622FBCC">
      <w:start w:val="1"/>
      <w:numFmt w:val="bullet"/>
      <w:lvlText w:val=""/>
      <w:lvlJc w:val="left"/>
      <w:pPr>
        <w:ind w:left="6480" w:hanging="360"/>
      </w:pPr>
      <w:rPr>
        <w:rFonts w:ascii="Wingdings" w:hAnsi="Wingdings" w:hint="default"/>
      </w:rPr>
    </w:lvl>
  </w:abstractNum>
  <w:abstractNum w:abstractNumId="5" w15:restartNumberingAfterBreak="0">
    <w:nsid w:val="4EC243CF"/>
    <w:multiLevelType w:val="hybridMultilevel"/>
    <w:tmpl w:val="FFFFFFFF"/>
    <w:lvl w:ilvl="0" w:tplc="649C3364">
      <w:start w:val="1"/>
      <w:numFmt w:val="bullet"/>
      <w:lvlText w:val=""/>
      <w:lvlJc w:val="left"/>
      <w:pPr>
        <w:ind w:left="720" w:hanging="360"/>
      </w:pPr>
      <w:rPr>
        <w:rFonts w:ascii="Symbol" w:hAnsi="Symbol" w:hint="default"/>
      </w:rPr>
    </w:lvl>
    <w:lvl w:ilvl="1" w:tplc="12580BC8">
      <w:start w:val="1"/>
      <w:numFmt w:val="bullet"/>
      <w:lvlText w:val="o"/>
      <w:lvlJc w:val="left"/>
      <w:pPr>
        <w:ind w:left="1440" w:hanging="360"/>
      </w:pPr>
      <w:rPr>
        <w:rFonts w:ascii="Courier New" w:hAnsi="Courier New" w:hint="default"/>
      </w:rPr>
    </w:lvl>
    <w:lvl w:ilvl="2" w:tplc="4F4436DA">
      <w:start w:val="1"/>
      <w:numFmt w:val="bullet"/>
      <w:lvlText w:val=""/>
      <w:lvlJc w:val="left"/>
      <w:pPr>
        <w:ind w:left="2160" w:hanging="360"/>
      </w:pPr>
      <w:rPr>
        <w:rFonts w:ascii="Wingdings" w:hAnsi="Wingdings" w:hint="default"/>
      </w:rPr>
    </w:lvl>
    <w:lvl w:ilvl="3" w:tplc="C5863492">
      <w:start w:val="1"/>
      <w:numFmt w:val="bullet"/>
      <w:lvlText w:val=""/>
      <w:lvlJc w:val="left"/>
      <w:pPr>
        <w:ind w:left="2880" w:hanging="360"/>
      </w:pPr>
      <w:rPr>
        <w:rFonts w:ascii="Symbol" w:hAnsi="Symbol" w:hint="default"/>
      </w:rPr>
    </w:lvl>
    <w:lvl w:ilvl="4" w:tplc="52DE843C">
      <w:start w:val="1"/>
      <w:numFmt w:val="bullet"/>
      <w:lvlText w:val="o"/>
      <w:lvlJc w:val="left"/>
      <w:pPr>
        <w:ind w:left="3600" w:hanging="360"/>
      </w:pPr>
      <w:rPr>
        <w:rFonts w:ascii="Courier New" w:hAnsi="Courier New" w:hint="default"/>
      </w:rPr>
    </w:lvl>
    <w:lvl w:ilvl="5" w:tplc="8682A606">
      <w:start w:val="1"/>
      <w:numFmt w:val="bullet"/>
      <w:lvlText w:val=""/>
      <w:lvlJc w:val="left"/>
      <w:pPr>
        <w:ind w:left="4320" w:hanging="360"/>
      </w:pPr>
      <w:rPr>
        <w:rFonts w:ascii="Wingdings" w:hAnsi="Wingdings" w:hint="default"/>
      </w:rPr>
    </w:lvl>
    <w:lvl w:ilvl="6" w:tplc="C7CEDADA">
      <w:start w:val="1"/>
      <w:numFmt w:val="bullet"/>
      <w:lvlText w:val=""/>
      <w:lvlJc w:val="left"/>
      <w:pPr>
        <w:ind w:left="5040" w:hanging="360"/>
      </w:pPr>
      <w:rPr>
        <w:rFonts w:ascii="Symbol" w:hAnsi="Symbol" w:hint="default"/>
      </w:rPr>
    </w:lvl>
    <w:lvl w:ilvl="7" w:tplc="9650FA84">
      <w:start w:val="1"/>
      <w:numFmt w:val="bullet"/>
      <w:lvlText w:val="o"/>
      <w:lvlJc w:val="left"/>
      <w:pPr>
        <w:ind w:left="5760" w:hanging="360"/>
      </w:pPr>
      <w:rPr>
        <w:rFonts w:ascii="Courier New" w:hAnsi="Courier New" w:hint="default"/>
      </w:rPr>
    </w:lvl>
    <w:lvl w:ilvl="8" w:tplc="44C81218">
      <w:start w:val="1"/>
      <w:numFmt w:val="bullet"/>
      <w:lvlText w:val=""/>
      <w:lvlJc w:val="left"/>
      <w:pPr>
        <w:ind w:left="6480" w:hanging="360"/>
      </w:pPr>
      <w:rPr>
        <w:rFonts w:ascii="Wingdings" w:hAnsi="Wingdings" w:hint="default"/>
      </w:rPr>
    </w:lvl>
  </w:abstractNum>
  <w:abstractNum w:abstractNumId="6" w15:restartNumberingAfterBreak="0">
    <w:nsid w:val="595B8264"/>
    <w:multiLevelType w:val="hybridMultilevel"/>
    <w:tmpl w:val="FFFFFFFF"/>
    <w:lvl w:ilvl="0" w:tplc="0FAEF962">
      <w:start w:val="1"/>
      <w:numFmt w:val="bullet"/>
      <w:lvlText w:val=""/>
      <w:lvlJc w:val="left"/>
      <w:pPr>
        <w:ind w:left="720" w:hanging="360"/>
      </w:pPr>
      <w:rPr>
        <w:rFonts w:ascii="Symbol" w:hAnsi="Symbol" w:hint="default"/>
      </w:rPr>
    </w:lvl>
    <w:lvl w:ilvl="1" w:tplc="E146CC34">
      <w:start w:val="1"/>
      <w:numFmt w:val="bullet"/>
      <w:lvlText w:val="o"/>
      <w:lvlJc w:val="left"/>
      <w:pPr>
        <w:ind w:left="1440" w:hanging="360"/>
      </w:pPr>
      <w:rPr>
        <w:rFonts w:ascii="Courier New" w:hAnsi="Courier New" w:hint="default"/>
      </w:rPr>
    </w:lvl>
    <w:lvl w:ilvl="2" w:tplc="8084E16A">
      <w:start w:val="1"/>
      <w:numFmt w:val="bullet"/>
      <w:lvlText w:val=""/>
      <w:lvlJc w:val="left"/>
      <w:pPr>
        <w:ind w:left="2160" w:hanging="360"/>
      </w:pPr>
      <w:rPr>
        <w:rFonts w:ascii="Wingdings" w:hAnsi="Wingdings" w:hint="default"/>
      </w:rPr>
    </w:lvl>
    <w:lvl w:ilvl="3" w:tplc="2FA056BE">
      <w:start w:val="1"/>
      <w:numFmt w:val="bullet"/>
      <w:lvlText w:val=""/>
      <w:lvlJc w:val="left"/>
      <w:pPr>
        <w:ind w:left="2880" w:hanging="360"/>
      </w:pPr>
      <w:rPr>
        <w:rFonts w:ascii="Symbol" w:hAnsi="Symbol" w:hint="default"/>
      </w:rPr>
    </w:lvl>
    <w:lvl w:ilvl="4" w:tplc="4D7CE382">
      <w:start w:val="1"/>
      <w:numFmt w:val="bullet"/>
      <w:lvlText w:val="o"/>
      <w:lvlJc w:val="left"/>
      <w:pPr>
        <w:ind w:left="3600" w:hanging="360"/>
      </w:pPr>
      <w:rPr>
        <w:rFonts w:ascii="Courier New" w:hAnsi="Courier New" w:hint="default"/>
      </w:rPr>
    </w:lvl>
    <w:lvl w:ilvl="5" w:tplc="A38A63CC">
      <w:start w:val="1"/>
      <w:numFmt w:val="bullet"/>
      <w:lvlText w:val=""/>
      <w:lvlJc w:val="left"/>
      <w:pPr>
        <w:ind w:left="4320" w:hanging="360"/>
      </w:pPr>
      <w:rPr>
        <w:rFonts w:ascii="Wingdings" w:hAnsi="Wingdings" w:hint="default"/>
      </w:rPr>
    </w:lvl>
    <w:lvl w:ilvl="6" w:tplc="19FE83BC">
      <w:start w:val="1"/>
      <w:numFmt w:val="bullet"/>
      <w:lvlText w:val=""/>
      <w:lvlJc w:val="left"/>
      <w:pPr>
        <w:ind w:left="5040" w:hanging="360"/>
      </w:pPr>
      <w:rPr>
        <w:rFonts w:ascii="Symbol" w:hAnsi="Symbol" w:hint="default"/>
      </w:rPr>
    </w:lvl>
    <w:lvl w:ilvl="7" w:tplc="5A64194C">
      <w:start w:val="1"/>
      <w:numFmt w:val="bullet"/>
      <w:lvlText w:val="o"/>
      <w:lvlJc w:val="left"/>
      <w:pPr>
        <w:ind w:left="5760" w:hanging="360"/>
      </w:pPr>
      <w:rPr>
        <w:rFonts w:ascii="Courier New" w:hAnsi="Courier New" w:hint="default"/>
      </w:rPr>
    </w:lvl>
    <w:lvl w:ilvl="8" w:tplc="DA2EB26E">
      <w:start w:val="1"/>
      <w:numFmt w:val="bullet"/>
      <w:lvlText w:val=""/>
      <w:lvlJc w:val="left"/>
      <w:pPr>
        <w:ind w:left="6480" w:hanging="360"/>
      </w:pPr>
      <w:rPr>
        <w:rFonts w:ascii="Wingdings" w:hAnsi="Wingdings" w:hint="default"/>
      </w:rPr>
    </w:lvl>
  </w:abstractNum>
  <w:abstractNum w:abstractNumId="7" w15:restartNumberingAfterBreak="0">
    <w:nsid w:val="64A9F892"/>
    <w:multiLevelType w:val="hybridMultilevel"/>
    <w:tmpl w:val="FFFFFFFF"/>
    <w:lvl w:ilvl="0" w:tplc="7F486246">
      <w:start w:val="1"/>
      <w:numFmt w:val="bullet"/>
      <w:lvlText w:val=""/>
      <w:lvlJc w:val="left"/>
      <w:pPr>
        <w:ind w:left="720" w:hanging="360"/>
      </w:pPr>
      <w:rPr>
        <w:rFonts w:ascii="Symbol" w:hAnsi="Symbol" w:hint="default"/>
      </w:rPr>
    </w:lvl>
    <w:lvl w:ilvl="1" w:tplc="7B2A66AE">
      <w:start w:val="1"/>
      <w:numFmt w:val="bullet"/>
      <w:lvlText w:val="o"/>
      <w:lvlJc w:val="left"/>
      <w:pPr>
        <w:ind w:left="1440" w:hanging="360"/>
      </w:pPr>
      <w:rPr>
        <w:rFonts w:ascii="Courier New" w:hAnsi="Courier New" w:hint="default"/>
      </w:rPr>
    </w:lvl>
    <w:lvl w:ilvl="2" w:tplc="7BEC7810">
      <w:start w:val="1"/>
      <w:numFmt w:val="bullet"/>
      <w:lvlText w:val=""/>
      <w:lvlJc w:val="left"/>
      <w:pPr>
        <w:ind w:left="2160" w:hanging="360"/>
      </w:pPr>
      <w:rPr>
        <w:rFonts w:ascii="Wingdings" w:hAnsi="Wingdings" w:hint="default"/>
      </w:rPr>
    </w:lvl>
    <w:lvl w:ilvl="3" w:tplc="6F7AFCE6">
      <w:start w:val="1"/>
      <w:numFmt w:val="bullet"/>
      <w:lvlText w:val=""/>
      <w:lvlJc w:val="left"/>
      <w:pPr>
        <w:ind w:left="2880" w:hanging="360"/>
      </w:pPr>
      <w:rPr>
        <w:rFonts w:ascii="Symbol" w:hAnsi="Symbol" w:hint="default"/>
      </w:rPr>
    </w:lvl>
    <w:lvl w:ilvl="4" w:tplc="C18CCBEA">
      <w:start w:val="1"/>
      <w:numFmt w:val="bullet"/>
      <w:lvlText w:val="o"/>
      <w:lvlJc w:val="left"/>
      <w:pPr>
        <w:ind w:left="3600" w:hanging="360"/>
      </w:pPr>
      <w:rPr>
        <w:rFonts w:ascii="Courier New" w:hAnsi="Courier New" w:hint="default"/>
      </w:rPr>
    </w:lvl>
    <w:lvl w:ilvl="5" w:tplc="87E61476">
      <w:start w:val="1"/>
      <w:numFmt w:val="bullet"/>
      <w:lvlText w:val=""/>
      <w:lvlJc w:val="left"/>
      <w:pPr>
        <w:ind w:left="4320" w:hanging="360"/>
      </w:pPr>
      <w:rPr>
        <w:rFonts w:ascii="Wingdings" w:hAnsi="Wingdings" w:hint="default"/>
      </w:rPr>
    </w:lvl>
    <w:lvl w:ilvl="6" w:tplc="39445B1C">
      <w:start w:val="1"/>
      <w:numFmt w:val="bullet"/>
      <w:lvlText w:val=""/>
      <w:lvlJc w:val="left"/>
      <w:pPr>
        <w:ind w:left="5040" w:hanging="360"/>
      </w:pPr>
      <w:rPr>
        <w:rFonts w:ascii="Symbol" w:hAnsi="Symbol" w:hint="default"/>
      </w:rPr>
    </w:lvl>
    <w:lvl w:ilvl="7" w:tplc="CE88D9A8">
      <w:start w:val="1"/>
      <w:numFmt w:val="bullet"/>
      <w:lvlText w:val="o"/>
      <w:lvlJc w:val="left"/>
      <w:pPr>
        <w:ind w:left="5760" w:hanging="360"/>
      </w:pPr>
      <w:rPr>
        <w:rFonts w:ascii="Courier New" w:hAnsi="Courier New" w:hint="default"/>
      </w:rPr>
    </w:lvl>
    <w:lvl w:ilvl="8" w:tplc="B7BAE066">
      <w:start w:val="1"/>
      <w:numFmt w:val="bullet"/>
      <w:lvlText w:val=""/>
      <w:lvlJc w:val="left"/>
      <w:pPr>
        <w:ind w:left="6480" w:hanging="360"/>
      </w:pPr>
      <w:rPr>
        <w:rFonts w:ascii="Wingdings" w:hAnsi="Wingdings" w:hint="default"/>
      </w:rPr>
    </w:lvl>
  </w:abstractNum>
  <w:abstractNum w:abstractNumId="8" w15:restartNumberingAfterBreak="0">
    <w:nsid w:val="6FF41805"/>
    <w:multiLevelType w:val="hybridMultilevel"/>
    <w:tmpl w:val="FFFFFFFF"/>
    <w:lvl w:ilvl="0" w:tplc="3E4E7FBE">
      <w:start w:val="1"/>
      <w:numFmt w:val="bullet"/>
      <w:lvlText w:val="-"/>
      <w:lvlJc w:val="left"/>
      <w:pPr>
        <w:ind w:left="720" w:hanging="360"/>
      </w:pPr>
      <w:rPr>
        <w:rFonts w:ascii="Aptos" w:hAnsi="Aptos" w:hint="default"/>
      </w:rPr>
    </w:lvl>
    <w:lvl w:ilvl="1" w:tplc="F9D87F50">
      <w:start w:val="1"/>
      <w:numFmt w:val="bullet"/>
      <w:lvlText w:val="o"/>
      <w:lvlJc w:val="left"/>
      <w:pPr>
        <w:ind w:left="1440" w:hanging="360"/>
      </w:pPr>
      <w:rPr>
        <w:rFonts w:ascii="Courier New" w:hAnsi="Courier New" w:hint="default"/>
      </w:rPr>
    </w:lvl>
    <w:lvl w:ilvl="2" w:tplc="BFF23D88">
      <w:start w:val="1"/>
      <w:numFmt w:val="bullet"/>
      <w:lvlText w:val=""/>
      <w:lvlJc w:val="left"/>
      <w:pPr>
        <w:ind w:left="2160" w:hanging="360"/>
      </w:pPr>
      <w:rPr>
        <w:rFonts w:ascii="Wingdings" w:hAnsi="Wingdings" w:hint="default"/>
      </w:rPr>
    </w:lvl>
    <w:lvl w:ilvl="3" w:tplc="E42E610E">
      <w:start w:val="1"/>
      <w:numFmt w:val="bullet"/>
      <w:lvlText w:val=""/>
      <w:lvlJc w:val="left"/>
      <w:pPr>
        <w:ind w:left="2880" w:hanging="360"/>
      </w:pPr>
      <w:rPr>
        <w:rFonts w:ascii="Symbol" w:hAnsi="Symbol" w:hint="default"/>
      </w:rPr>
    </w:lvl>
    <w:lvl w:ilvl="4" w:tplc="D1181882">
      <w:start w:val="1"/>
      <w:numFmt w:val="bullet"/>
      <w:lvlText w:val="o"/>
      <w:lvlJc w:val="left"/>
      <w:pPr>
        <w:ind w:left="3600" w:hanging="360"/>
      </w:pPr>
      <w:rPr>
        <w:rFonts w:ascii="Courier New" w:hAnsi="Courier New" w:hint="default"/>
      </w:rPr>
    </w:lvl>
    <w:lvl w:ilvl="5" w:tplc="A2CAB45C">
      <w:start w:val="1"/>
      <w:numFmt w:val="bullet"/>
      <w:lvlText w:val=""/>
      <w:lvlJc w:val="left"/>
      <w:pPr>
        <w:ind w:left="4320" w:hanging="360"/>
      </w:pPr>
      <w:rPr>
        <w:rFonts w:ascii="Wingdings" w:hAnsi="Wingdings" w:hint="default"/>
      </w:rPr>
    </w:lvl>
    <w:lvl w:ilvl="6" w:tplc="B2C49CC0">
      <w:start w:val="1"/>
      <w:numFmt w:val="bullet"/>
      <w:lvlText w:val=""/>
      <w:lvlJc w:val="left"/>
      <w:pPr>
        <w:ind w:left="5040" w:hanging="360"/>
      </w:pPr>
      <w:rPr>
        <w:rFonts w:ascii="Symbol" w:hAnsi="Symbol" w:hint="default"/>
      </w:rPr>
    </w:lvl>
    <w:lvl w:ilvl="7" w:tplc="E0A24306">
      <w:start w:val="1"/>
      <w:numFmt w:val="bullet"/>
      <w:lvlText w:val="o"/>
      <w:lvlJc w:val="left"/>
      <w:pPr>
        <w:ind w:left="5760" w:hanging="360"/>
      </w:pPr>
      <w:rPr>
        <w:rFonts w:ascii="Courier New" w:hAnsi="Courier New" w:hint="default"/>
      </w:rPr>
    </w:lvl>
    <w:lvl w:ilvl="8" w:tplc="9C26DBFC">
      <w:start w:val="1"/>
      <w:numFmt w:val="bullet"/>
      <w:lvlText w:val=""/>
      <w:lvlJc w:val="left"/>
      <w:pPr>
        <w:ind w:left="6480" w:hanging="360"/>
      </w:pPr>
      <w:rPr>
        <w:rFonts w:ascii="Wingdings" w:hAnsi="Wingdings" w:hint="default"/>
      </w:rPr>
    </w:lvl>
  </w:abstractNum>
  <w:num w:numId="1" w16cid:durableId="1174144533">
    <w:abstractNumId w:val="5"/>
  </w:num>
  <w:num w:numId="2" w16cid:durableId="1380322605">
    <w:abstractNumId w:val="2"/>
  </w:num>
  <w:num w:numId="3" w16cid:durableId="1582136401">
    <w:abstractNumId w:val="0"/>
  </w:num>
  <w:num w:numId="4" w16cid:durableId="1588685980">
    <w:abstractNumId w:val="6"/>
  </w:num>
  <w:num w:numId="5" w16cid:durableId="17389331">
    <w:abstractNumId w:val="8"/>
  </w:num>
  <w:num w:numId="6" w16cid:durableId="176038505">
    <w:abstractNumId w:val="1"/>
  </w:num>
  <w:num w:numId="7" w16cid:durableId="1834176211">
    <w:abstractNumId w:val="4"/>
  </w:num>
  <w:num w:numId="8" w16cid:durableId="1971473625">
    <w:abstractNumId w:val="3"/>
  </w:num>
  <w:num w:numId="9" w16cid:durableId="8333732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a Dogan">
    <w15:presenceInfo w15:providerId="AD" w15:userId="S::ela.dogan@undp.org::76903679-6caf-4a2f-b336-2e3011451c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52C56A"/>
    <w:rsid w:val="00034C83"/>
    <w:rsid w:val="000425C3"/>
    <w:rsid w:val="00051968"/>
    <w:rsid w:val="00057E59"/>
    <w:rsid w:val="0008025B"/>
    <w:rsid w:val="000B4322"/>
    <w:rsid w:val="000B697D"/>
    <w:rsid w:val="000E5BF6"/>
    <w:rsid w:val="000F1846"/>
    <w:rsid w:val="001123FF"/>
    <w:rsid w:val="0016591C"/>
    <w:rsid w:val="00181589"/>
    <w:rsid w:val="00205B7F"/>
    <w:rsid w:val="00241D1D"/>
    <w:rsid w:val="00246DA3"/>
    <w:rsid w:val="002A0404"/>
    <w:rsid w:val="002B71B3"/>
    <w:rsid w:val="002C0D50"/>
    <w:rsid w:val="00320D02"/>
    <w:rsid w:val="003629DE"/>
    <w:rsid w:val="00372EB2"/>
    <w:rsid w:val="00374B04"/>
    <w:rsid w:val="00379C3C"/>
    <w:rsid w:val="003B6860"/>
    <w:rsid w:val="003D64E6"/>
    <w:rsid w:val="003E628F"/>
    <w:rsid w:val="003F68CD"/>
    <w:rsid w:val="00404A7D"/>
    <w:rsid w:val="0044424E"/>
    <w:rsid w:val="00474371"/>
    <w:rsid w:val="004A7202"/>
    <w:rsid w:val="004A72F3"/>
    <w:rsid w:val="00505A47"/>
    <w:rsid w:val="00535893"/>
    <w:rsid w:val="005A5118"/>
    <w:rsid w:val="005C1590"/>
    <w:rsid w:val="006B7B2C"/>
    <w:rsid w:val="00700C85"/>
    <w:rsid w:val="00711F03"/>
    <w:rsid w:val="00766C0D"/>
    <w:rsid w:val="00772433"/>
    <w:rsid w:val="0078236C"/>
    <w:rsid w:val="007B7D44"/>
    <w:rsid w:val="00812454"/>
    <w:rsid w:val="008445B1"/>
    <w:rsid w:val="008518E9"/>
    <w:rsid w:val="00872FA7"/>
    <w:rsid w:val="008D1137"/>
    <w:rsid w:val="0090780F"/>
    <w:rsid w:val="00910463"/>
    <w:rsid w:val="00917ACB"/>
    <w:rsid w:val="009772B6"/>
    <w:rsid w:val="009C1F71"/>
    <w:rsid w:val="00A6AC04"/>
    <w:rsid w:val="00A7334F"/>
    <w:rsid w:val="00A95475"/>
    <w:rsid w:val="00AD7C05"/>
    <w:rsid w:val="00B33CEA"/>
    <w:rsid w:val="00BA651F"/>
    <w:rsid w:val="00BB0C87"/>
    <w:rsid w:val="00BE7ED8"/>
    <w:rsid w:val="00BF3E49"/>
    <w:rsid w:val="00C435FB"/>
    <w:rsid w:val="00C51926"/>
    <w:rsid w:val="00C52A59"/>
    <w:rsid w:val="00C57DE4"/>
    <w:rsid w:val="00C60FBB"/>
    <w:rsid w:val="00C65B3B"/>
    <w:rsid w:val="00D62E89"/>
    <w:rsid w:val="00D86978"/>
    <w:rsid w:val="00DE4DEB"/>
    <w:rsid w:val="00DF4BA5"/>
    <w:rsid w:val="00E04634"/>
    <w:rsid w:val="00ED3FC2"/>
    <w:rsid w:val="00EF784A"/>
    <w:rsid w:val="00F3659A"/>
    <w:rsid w:val="00F774D2"/>
    <w:rsid w:val="00FA3016"/>
    <w:rsid w:val="00FB49B6"/>
    <w:rsid w:val="00FC2B55"/>
    <w:rsid w:val="00FE2D62"/>
    <w:rsid w:val="00FF7DA8"/>
    <w:rsid w:val="0206CF5E"/>
    <w:rsid w:val="022CFAC4"/>
    <w:rsid w:val="02366A2F"/>
    <w:rsid w:val="02B27597"/>
    <w:rsid w:val="030FE04B"/>
    <w:rsid w:val="035EA815"/>
    <w:rsid w:val="03A622A7"/>
    <w:rsid w:val="03C78F91"/>
    <w:rsid w:val="0436C496"/>
    <w:rsid w:val="05FA31E1"/>
    <w:rsid w:val="067B1FEB"/>
    <w:rsid w:val="083C1276"/>
    <w:rsid w:val="086F3D81"/>
    <w:rsid w:val="097ADD92"/>
    <w:rsid w:val="097D08B9"/>
    <w:rsid w:val="099F4E26"/>
    <w:rsid w:val="0A06A3B4"/>
    <w:rsid w:val="0A297C62"/>
    <w:rsid w:val="0AEC1004"/>
    <w:rsid w:val="0B5CA4DF"/>
    <w:rsid w:val="0D4B92AF"/>
    <w:rsid w:val="0E816CC6"/>
    <w:rsid w:val="0EE070D8"/>
    <w:rsid w:val="0EEF9332"/>
    <w:rsid w:val="0FE181E8"/>
    <w:rsid w:val="101169B0"/>
    <w:rsid w:val="114EF7A5"/>
    <w:rsid w:val="117C926B"/>
    <w:rsid w:val="12D0C88B"/>
    <w:rsid w:val="13F3DB25"/>
    <w:rsid w:val="14035EEC"/>
    <w:rsid w:val="15426054"/>
    <w:rsid w:val="1560D345"/>
    <w:rsid w:val="1689AF4F"/>
    <w:rsid w:val="16EC51C2"/>
    <w:rsid w:val="17AA1AA7"/>
    <w:rsid w:val="1960A9F1"/>
    <w:rsid w:val="1A494D60"/>
    <w:rsid w:val="1A86C528"/>
    <w:rsid w:val="1AA84D99"/>
    <w:rsid w:val="1AE1E173"/>
    <w:rsid w:val="1B35CF49"/>
    <w:rsid w:val="1B47038E"/>
    <w:rsid w:val="1BCF16DB"/>
    <w:rsid w:val="1BDDE0EA"/>
    <w:rsid w:val="1CAD1486"/>
    <w:rsid w:val="1D9E9B49"/>
    <w:rsid w:val="1F89421F"/>
    <w:rsid w:val="1FE70F4B"/>
    <w:rsid w:val="200ED413"/>
    <w:rsid w:val="20847EB2"/>
    <w:rsid w:val="21B55AC1"/>
    <w:rsid w:val="21D62304"/>
    <w:rsid w:val="227FAED4"/>
    <w:rsid w:val="24335CE9"/>
    <w:rsid w:val="25218332"/>
    <w:rsid w:val="253F6170"/>
    <w:rsid w:val="25B8999F"/>
    <w:rsid w:val="25DB18D0"/>
    <w:rsid w:val="264EAC1A"/>
    <w:rsid w:val="26D60FA6"/>
    <w:rsid w:val="284C1BAF"/>
    <w:rsid w:val="29A88E6D"/>
    <w:rsid w:val="2A60DCDE"/>
    <w:rsid w:val="2AB50983"/>
    <w:rsid w:val="2B104A6D"/>
    <w:rsid w:val="2C06797A"/>
    <w:rsid w:val="2C0D4CC0"/>
    <w:rsid w:val="2CEAE419"/>
    <w:rsid w:val="2E325FB5"/>
    <w:rsid w:val="2EFC2FA3"/>
    <w:rsid w:val="2F8DAEF2"/>
    <w:rsid w:val="30001DCE"/>
    <w:rsid w:val="30039276"/>
    <w:rsid w:val="303881FA"/>
    <w:rsid w:val="315E3D24"/>
    <w:rsid w:val="318922ED"/>
    <w:rsid w:val="31B84C8F"/>
    <w:rsid w:val="32239345"/>
    <w:rsid w:val="32A14C5E"/>
    <w:rsid w:val="33B3797C"/>
    <w:rsid w:val="344AE2C5"/>
    <w:rsid w:val="3720EE40"/>
    <w:rsid w:val="3804C5EF"/>
    <w:rsid w:val="3952C56A"/>
    <w:rsid w:val="39F2BCFE"/>
    <w:rsid w:val="3C51D845"/>
    <w:rsid w:val="3C8B14F1"/>
    <w:rsid w:val="3D0EAF91"/>
    <w:rsid w:val="3D8B74CE"/>
    <w:rsid w:val="3E83CE09"/>
    <w:rsid w:val="3ED08C2C"/>
    <w:rsid w:val="3F1B2476"/>
    <w:rsid w:val="3F60A358"/>
    <w:rsid w:val="3FC81767"/>
    <w:rsid w:val="3FF1E8F6"/>
    <w:rsid w:val="402B0535"/>
    <w:rsid w:val="4056174D"/>
    <w:rsid w:val="41323097"/>
    <w:rsid w:val="41686C58"/>
    <w:rsid w:val="41B45DA4"/>
    <w:rsid w:val="41DD9CE8"/>
    <w:rsid w:val="41F1BE4C"/>
    <w:rsid w:val="42FF3CC6"/>
    <w:rsid w:val="43DBC3DE"/>
    <w:rsid w:val="43EF5CB9"/>
    <w:rsid w:val="43FF1008"/>
    <w:rsid w:val="455E58F9"/>
    <w:rsid w:val="456061A4"/>
    <w:rsid w:val="45B5BBAD"/>
    <w:rsid w:val="46719DF5"/>
    <w:rsid w:val="467AD3F3"/>
    <w:rsid w:val="473AADFB"/>
    <w:rsid w:val="481075F0"/>
    <w:rsid w:val="49457920"/>
    <w:rsid w:val="49BDE79A"/>
    <w:rsid w:val="49D47353"/>
    <w:rsid w:val="4A1CC621"/>
    <w:rsid w:val="4A97A2D7"/>
    <w:rsid w:val="4AD4EE17"/>
    <w:rsid w:val="4BE7A5CD"/>
    <w:rsid w:val="4C013454"/>
    <w:rsid w:val="4D56BD5F"/>
    <w:rsid w:val="4D613C8D"/>
    <w:rsid w:val="4DD5512F"/>
    <w:rsid w:val="4E1B67E3"/>
    <w:rsid w:val="4F6E0C12"/>
    <w:rsid w:val="4F8EA37B"/>
    <w:rsid w:val="4FE40C78"/>
    <w:rsid w:val="5234F668"/>
    <w:rsid w:val="525C9284"/>
    <w:rsid w:val="5271815C"/>
    <w:rsid w:val="52D7FC33"/>
    <w:rsid w:val="534DDDF2"/>
    <w:rsid w:val="53A30AF0"/>
    <w:rsid w:val="53DD9831"/>
    <w:rsid w:val="54B86F20"/>
    <w:rsid w:val="55EE4F72"/>
    <w:rsid w:val="569308DD"/>
    <w:rsid w:val="56C7E2D4"/>
    <w:rsid w:val="571F1525"/>
    <w:rsid w:val="572010DA"/>
    <w:rsid w:val="578105C5"/>
    <w:rsid w:val="5A4AC350"/>
    <w:rsid w:val="5AFD5635"/>
    <w:rsid w:val="5B57FA4A"/>
    <w:rsid w:val="5B9C1B18"/>
    <w:rsid w:val="5BEF0AE2"/>
    <w:rsid w:val="5C21518D"/>
    <w:rsid w:val="5CAE6422"/>
    <w:rsid w:val="5CB0991C"/>
    <w:rsid w:val="5DA73CF2"/>
    <w:rsid w:val="5DBBC9AB"/>
    <w:rsid w:val="5DFA454A"/>
    <w:rsid w:val="5E2A4047"/>
    <w:rsid w:val="5E4A9519"/>
    <w:rsid w:val="5ED250B5"/>
    <w:rsid w:val="60478BC8"/>
    <w:rsid w:val="60662B97"/>
    <w:rsid w:val="61298667"/>
    <w:rsid w:val="612F79BF"/>
    <w:rsid w:val="6138219F"/>
    <w:rsid w:val="63C65F41"/>
    <w:rsid w:val="656AE152"/>
    <w:rsid w:val="669FD40D"/>
    <w:rsid w:val="66A72730"/>
    <w:rsid w:val="6733380E"/>
    <w:rsid w:val="67590E6E"/>
    <w:rsid w:val="68B11573"/>
    <w:rsid w:val="69EA0629"/>
    <w:rsid w:val="6A0C61AB"/>
    <w:rsid w:val="6A691285"/>
    <w:rsid w:val="6B52D19B"/>
    <w:rsid w:val="6B9AF797"/>
    <w:rsid w:val="6C173BAF"/>
    <w:rsid w:val="6D8896D7"/>
    <w:rsid w:val="6DE9741F"/>
    <w:rsid w:val="6E281D53"/>
    <w:rsid w:val="6EBB8352"/>
    <w:rsid w:val="6ED61CEE"/>
    <w:rsid w:val="702D1C73"/>
    <w:rsid w:val="73AFFD43"/>
    <w:rsid w:val="742FAF6D"/>
    <w:rsid w:val="74440FA9"/>
    <w:rsid w:val="74EE6E6D"/>
    <w:rsid w:val="757E97E5"/>
    <w:rsid w:val="75B93CFC"/>
    <w:rsid w:val="7610D89A"/>
    <w:rsid w:val="762DB5BC"/>
    <w:rsid w:val="76BEFDEA"/>
    <w:rsid w:val="770735B2"/>
    <w:rsid w:val="778EA31F"/>
    <w:rsid w:val="779E10ED"/>
    <w:rsid w:val="782AF255"/>
    <w:rsid w:val="78D0D494"/>
    <w:rsid w:val="79012B18"/>
    <w:rsid w:val="791CBA63"/>
    <w:rsid w:val="79820254"/>
    <w:rsid w:val="7A03ACC9"/>
    <w:rsid w:val="7A28C714"/>
    <w:rsid w:val="7A636202"/>
    <w:rsid w:val="7A6A58AE"/>
    <w:rsid w:val="7B565E71"/>
    <w:rsid w:val="7BA18D69"/>
    <w:rsid w:val="7BCFBF93"/>
    <w:rsid w:val="7BEBF5DC"/>
    <w:rsid w:val="7E560DD7"/>
    <w:rsid w:val="7E64E169"/>
    <w:rsid w:val="7E6CFB85"/>
    <w:rsid w:val="7F92684B"/>
    <w:rsid w:val="7FCABE1D"/>
    <w:rsid w:val="7FFC10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FE4816"/>
  <w15:chartTrackingRefBased/>
  <w15:docId w15:val="{25CDF2AD-57AC-47E4-9BDE-CF918058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6A7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7590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7590E6E"/>
    <w:pPr>
      <w:ind w:left="720"/>
      <w:contextualSpacing/>
    </w:pPr>
  </w:style>
  <w:style w:type="character" w:styleId="Hyperlink">
    <w:name w:val="Hyperlink"/>
    <w:basedOn w:val="DefaultParagraphFont"/>
    <w:uiPriority w:val="99"/>
    <w:unhideWhenUsed/>
    <w:rsid w:val="67590E6E"/>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cf89adc-eefc-4033-818a-934b0690d419" xsi:nil="true"/>
    <lcf76f155ced4ddcb4097134ff3c332f xmlns="6b197b6a-cffc-4ca7-9de0-77d82e42a5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142B76D3943E45BF64D245CF3114CD" ma:contentTypeVersion="15" ma:contentTypeDescription="Create a new document." ma:contentTypeScope="" ma:versionID="d5ba5936a75c8d447e4e406132183400">
  <xsd:schema xmlns:xsd="http://www.w3.org/2001/XMLSchema" xmlns:xs="http://www.w3.org/2001/XMLSchema" xmlns:p="http://schemas.microsoft.com/office/2006/metadata/properties" xmlns:ns2="6b197b6a-cffc-4ca7-9de0-77d82e42a5a9" xmlns:ns3="fcf89adc-eefc-4033-818a-934b0690d419" targetNamespace="http://schemas.microsoft.com/office/2006/metadata/properties" ma:root="true" ma:fieldsID="15bef01bedf2aefd4e64008507d53695" ns2:_="" ns3:_="">
    <xsd:import namespace="6b197b6a-cffc-4ca7-9de0-77d82e42a5a9"/>
    <xsd:import namespace="fcf89adc-eefc-4033-818a-934b0690d4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7b6a-cffc-4ca7-9de0-77d82e42a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f89adc-eefc-4033-818a-934b0690d4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0748d2-dd91-460d-ad01-dabbfb816a42}" ma:internalName="TaxCatchAll" ma:showField="CatchAllData" ma:web="fcf89adc-eefc-4033-818a-934b0690d41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A8C00D-3B2D-42F7-8037-D259FC492D70}">
  <ds:schemaRefs>
    <ds:schemaRef ds:uri="http://schemas.microsoft.com/office/2006/metadata/properties"/>
    <ds:schemaRef ds:uri="http://schemas.microsoft.com/office/infopath/2007/PartnerControls"/>
    <ds:schemaRef ds:uri="fcf89adc-eefc-4033-818a-934b0690d419"/>
    <ds:schemaRef ds:uri="6b197b6a-cffc-4ca7-9de0-77d82e42a5a9"/>
  </ds:schemaRefs>
</ds:datastoreItem>
</file>

<file path=customXml/itemProps2.xml><?xml version="1.0" encoding="utf-8"?>
<ds:datastoreItem xmlns:ds="http://schemas.openxmlformats.org/officeDocument/2006/customXml" ds:itemID="{088E5F84-910C-4D78-86E2-64051A3B9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7b6a-cffc-4ca7-9de0-77d82e42a5a9"/>
    <ds:schemaRef ds:uri="fcf89adc-eefc-4033-818a-934b0690d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3B9B1B-1724-4738-917B-6DC55FD3D8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 Dogan</dc:creator>
  <cp:keywords/>
  <dc:description/>
  <cp:lastModifiedBy>Ela Dogan</cp:lastModifiedBy>
  <cp:revision>1</cp:revision>
  <dcterms:created xsi:type="dcterms:W3CDTF">2026-05-14T08:10:00Z</dcterms:created>
  <dcterms:modified xsi:type="dcterms:W3CDTF">2026-05-22T11:27:00Z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0x010100E6142B76D3943E45BF64D245CF3114CD</vt:lpwstr>
  </property>
  <property fmtid="{D5CDD505-2E9C-101B-9397-08002B2CF9AE}" pid="3" name="MediaServiceImageTags">
    <vt:lpwstr/>
  </property>
</Properties>
</file>