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437B72A" wp14:paraId="2C078E63" wp14:textId="0246DF66">
      <w:pPr>
        <w:pStyle w:val="Heading1"/>
      </w:pPr>
      <w:r w:rsidR="7134C315">
        <w:rPr/>
        <w:t>SOUTH SUDAN Report</w:t>
      </w:r>
    </w:p>
    <w:p w:rsidR="7134C315" w:rsidP="4E28F8CA" w:rsidRDefault="7134C315" w14:paraId="1B620B92" w14:textId="3EB13EA5">
      <w:pPr>
        <w:pStyle w:val="ListParagraph"/>
        <w:numPr>
          <w:ilvl w:val="0"/>
          <w:numId w:val="1"/>
        </w:numPr>
        <w:jc w:val="left"/>
        <w:rPr>
          <w:rFonts w:ascii="Aptos" w:hAnsi="Aptos" w:eastAsia="Aptos" w:cs="Aptos"/>
          <w:noProof w:val="0"/>
          <w:sz w:val="22"/>
          <w:szCs w:val="22"/>
          <w:lang w:val="en-US"/>
        </w:rPr>
      </w:pPr>
      <w:r w:rsidRPr="4E28F8CA" w:rsidR="7134C315">
        <w:rPr>
          <w:rFonts w:ascii="Aptos" w:hAnsi="Aptos" w:eastAsia="Aptos" w:cs="Aptos"/>
          <w:b w:val="0"/>
          <w:bCs w:val="0"/>
          <w:i w:val="0"/>
          <w:iCs w:val="0"/>
          <w:caps w:val="0"/>
          <w:smallCaps w:val="0"/>
          <w:noProof w:val="0"/>
          <w:color w:val="000000" w:themeColor="text1" w:themeTint="FF" w:themeShade="FF"/>
          <w:sz w:val="22"/>
          <w:szCs w:val="22"/>
          <w:lang w:val="en-US"/>
        </w:rPr>
        <w:t>This document will appear/</w:t>
      </w:r>
      <w:r w:rsidRPr="4E28F8CA" w:rsidR="7134C315">
        <w:rPr>
          <w:rFonts w:ascii="Aptos" w:hAnsi="Aptos" w:eastAsia="Aptos" w:cs="Aptos"/>
          <w:b w:val="0"/>
          <w:bCs w:val="0"/>
          <w:i w:val="0"/>
          <w:iCs w:val="0"/>
          <w:caps w:val="0"/>
          <w:smallCaps w:val="0"/>
          <w:noProof w:val="0"/>
          <w:color w:val="000000" w:themeColor="text1" w:themeTint="FF" w:themeShade="FF"/>
          <w:sz w:val="22"/>
          <w:szCs w:val="22"/>
          <w:lang w:val="en-US"/>
        </w:rPr>
        <w:t>downloadby</w:t>
      </w:r>
      <w:r w:rsidRPr="4E28F8CA" w:rsidR="7134C315">
        <w:rPr>
          <w:rFonts w:ascii="Aptos" w:hAnsi="Aptos" w:eastAsia="Aptos" w:cs="Aptos"/>
          <w:b w:val="0"/>
          <w:bCs w:val="0"/>
          <w:i w:val="0"/>
          <w:iCs w:val="0"/>
          <w:caps w:val="0"/>
          <w:smallCaps w:val="0"/>
          <w:noProof w:val="0"/>
          <w:color w:val="000000" w:themeColor="text1" w:themeTint="FF" w:themeShade="FF"/>
          <w:sz w:val="22"/>
          <w:szCs w:val="22"/>
          <w:lang w:val="en-US"/>
        </w:rPr>
        <w:t xml:space="preserve"> clicking </w:t>
      </w:r>
      <w:r w:rsidRPr="4E28F8CA" w:rsidR="7134C315">
        <w:rPr>
          <w:rFonts w:ascii="Aptos" w:hAnsi="Aptos" w:eastAsia="Aptos" w:cs="Aptos"/>
          <w:b w:val="0"/>
          <w:bCs w:val="0"/>
          <w:i w:val="0"/>
          <w:iCs w:val="0"/>
          <w:caps w:val="0"/>
          <w:smallCaps w:val="0"/>
          <w:noProof w:val="0"/>
          <w:color w:val="000000" w:themeColor="text1" w:themeTint="FF" w:themeShade="FF"/>
          <w:sz w:val="22"/>
          <w:szCs w:val="22"/>
          <w:lang w:val="en-US"/>
        </w:rPr>
        <w:t>“Generate</w:t>
      </w:r>
      <w:r w:rsidRPr="4E28F8CA" w:rsidR="7134C315">
        <w:rPr>
          <w:rFonts w:ascii="Aptos" w:hAnsi="Aptos" w:eastAsia="Aptos" w:cs="Aptos"/>
          <w:b w:val="0"/>
          <w:bCs w:val="0"/>
          <w:i w:val="0"/>
          <w:iCs w:val="0"/>
          <w:caps w:val="0"/>
          <w:smallCaps w:val="0"/>
          <w:noProof w:val="0"/>
          <w:color w:val="000000" w:themeColor="text1" w:themeTint="FF" w:themeShade="FF"/>
          <w:sz w:val="22"/>
          <w:szCs w:val="22"/>
          <w:lang w:val="en-US"/>
        </w:rPr>
        <w:t xml:space="preserve"> Report” button at the right sidebar. </w:t>
      </w:r>
      <w:r w:rsidRPr="4E28F8CA" w:rsidR="7134C315">
        <w:rPr>
          <w:rFonts w:ascii="Aptos" w:hAnsi="Aptos" w:eastAsia="Aptos" w:cs="Aptos"/>
          <w:noProof w:val="0"/>
          <w:sz w:val="22"/>
          <w:szCs w:val="22"/>
          <w:lang w:val="en-US"/>
        </w:rPr>
        <w:t>-</w:t>
      </w:r>
    </w:p>
    <w:p w:rsidR="5437B72A" w:rsidP="4E28F8CA" w:rsidRDefault="5437B72A" w14:paraId="7B989E8F" w14:textId="41E20F0C">
      <w:pPr>
        <w:pStyle w:val="Normal"/>
        <w:jc w:val="left"/>
        <w:rPr>
          <w:rFonts w:ascii="Aptos" w:hAnsi="Aptos" w:eastAsia="Aptos" w:cs="Aptos"/>
          <w:noProof w:val="0"/>
          <w:sz w:val="22"/>
          <w:szCs w:val="22"/>
          <w:lang w:val="en-US"/>
        </w:rPr>
      </w:pPr>
    </w:p>
    <w:p w:rsidR="5437B72A" w:rsidP="4E28F8CA" w:rsidRDefault="5437B72A" w14:paraId="79A188D0" w14:textId="3378F105">
      <w:pPr>
        <w:spacing w:after="180" w:line="300" w:lineRule="auto"/>
        <w:jc w:val="both"/>
        <w:rPr>
          <w:rFonts w:ascii="Aptos" w:hAnsi="Aptos" w:eastAsia="Aptos" w:cs="Aptos"/>
          <w:b w:val="0"/>
          <w:bCs w:val="0"/>
          <w:i w:val="0"/>
          <w:iCs w:val="0"/>
          <w:caps w:val="0"/>
          <w:smallCaps w:val="0"/>
          <w:noProof w:val="0"/>
          <w:color w:val="131314"/>
          <w:sz w:val="24"/>
          <w:szCs w:val="24"/>
          <w:lang w:val="en-US"/>
        </w:rPr>
      </w:pPr>
      <w:r w:rsidRPr="4E28F8CA" w:rsidR="730CDDFE">
        <w:rPr>
          <w:rFonts w:ascii="Aptos" w:hAnsi="Aptos" w:eastAsia="Aptos" w:cs="Aptos"/>
          <w:b w:val="1"/>
          <w:bCs w:val="1"/>
          <w:i w:val="0"/>
          <w:iCs w:val="0"/>
          <w:caps w:val="0"/>
          <w:smallCaps w:val="0"/>
          <w:noProof w:val="0"/>
          <w:color w:val="131314"/>
          <w:sz w:val="24"/>
          <w:szCs w:val="24"/>
          <w:lang w:val="en-US"/>
        </w:rPr>
        <w:t>Main Actors</w:t>
      </w:r>
    </w:p>
    <w:p w:rsidR="5437B72A" w:rsidP="4E28F8CA" w:rsidRDefault="5437B72A" w14:paraId="2314E47A" w14:textId="767EF29D">
      <w:pPr>
        <w:pStyle w:val="ListParagraph"/>
        <w:numPr>
          <w:ilvl w:val="0"/>
          <w:numId w:val="4"/>
        </w:numPr>
        <w:spacing w:after="0" w:line="276" w:lineRule="auto"/>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E28F8CA" w:rsidR="730CDDFE">
        <w:rPr>
          <w:rFonts w:ascii="Aptos" w:hAnsi="Aptos" w:eastAsia="Aptos" w:cs="Aptos"/>
          <w:b w:val="1"/>
          <w:bCs w:val="1"/>
          <w:i w:val="0"/>
          <w:iCs w:val="0"/>
          <w:caps w:val="0"/>
          <w:smallCaps w:val="0"/>
          <w:noProof w:val="0"/>
          <w:color w:val="000000" w:themeColor="text1" w:themeTint="FF" w:themeShade="FF"/>
          <w:sz w:val="24"/>
          <w:szCs w:val="24"/>
          <w:lang w:val="en-US"/>
        </w:rPr>
        <w:t>Political elites and security forces:</w:t>
      </w:r>
      <w:r w:rsidRPr="4E28F8CA" w:rsidR="730CDDFE">
        <w:rPr>
          <w:rFonts w:ascii="Aptos" w:hAnsi="Aptos" w:eastAsia="Aptos" w:cs="Aptos"/>
          <w:b w:val="0"/>
          <w:bCs w:val="0"/>
          <w:i w:val="0"/>
          <w:iCs w:val="0"/>
          <w:caps w:val="0"/>
          <w:smallCaps w:val="0"/>
          <w:noProof w:val="0"/>
          <w:color w:val="000000" w:themeColor="text1" w:themeTint="FF" w:themeShade="FF"/>
          <w:sz w:val="24"/>
          <w:szCs w:val="24"/>
          <w:lang w:val="en-US"/>
        </w:rPr>
        <w:t xml:space="preserve"> Internal divisions, political polarization, and military weaknesses deepening institutional fragility, despite ongoing offensives and external support.</w:t>
      </w:r>
    </w:p>
    <w:p w:rsidR="5437B72A" w:rsidP="4E28F8CA" w:rsidRDefault="5437B72A" w14:paraId="570275EB" w14:textId="135AD26D">
      <w:pPr>
        <w:pStyle w:val="ListParagraph"/>
        <w:numPr>
          <w:ilvl w:val="0"/>
          <w:numId w:val="4"/>
        </w:numPr>
        <w:spacing w:after="0" w:line="276" w:lineRule="auto"/>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E28F8CA" w:rsidR="730CDDFE">
        <w:rPr>
          <w:rFonts w:ascii="Aptos" w:hAnsi="Aptos" w:eastAsia="Aptos" w:cs="Aptos"/>
          <w:b w:val="1"/>
          <w:bCs w:val="1"/>
          <w:i w:val="0"/>
          <w:iCs w:val="0"/>
          <w:caps w:val="0"/>
          <w:smallCaps w:val="0"/>
          <w:noProof w:val="0"/>
          <w:color w:val="000000" w:themeColor="text1" w:themeTint="FF" w:themeShade="FF"/>
          <w:sz w:val="24"/>
          <w:szCs w:val="24"/>
          <w:lang w:val="en-US"/>
        </w:rPr>
        <w:t>Sudan People's Liberation Movement-in-Opposition (SPLM-IO):</w:t>
      </w:r>
      <w:r w:rsidRPr="4E28F8CA" w:rsidR="730CDDFE">
        <w:rPr>
          <w:rFonts w:ascii="Aptos" w:hAnsi="Aptos" w:eastAsia="Aptos" w:cs="Aptos"/>
          <w:b w:val="0"/>
          <w:bCs w:val="0"/>
          <w:i w:val="0"/>
          <w:iCs w:val="0"/>
          <w:caps w:val="0"/>
          <w:smallCaps w:val="0"/>
          <w:noProof w:val="0"/>
          <w:color w:val="000000" w:themeColor="text1" w:themeTint="FF" w:themeShade="FF"/>
          <w:sz w:val="24"/>
          <w:szCs w:val="24"/>
          <w:lang w:val="en-US"/>
        </w:rPr>
        <w:t xml:space="preserve"> Internal divisions and continued fighting undermining power-sharing agreements and contributing to sustained instability.</w:t>
      </w:r>
    </w:p>
    <w:p w:rsidR="5437B72A" w:rsidP="4E28F8CA" w:rsidRDefault="5437B72A" w14:paraId="45C175CD" w14:textId="50D0A1CE">
      <w:pPr>
        <w:pStyle w:val="ListParagraph"/>
        <w:numPr>
          <w:ilvl w:val="0"/>
          <w:numId w:val="4"/>
        </w:numPr>
        <w:spacing w:after="0" w:line="276" w:lineRule="auto"/>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E28F8CA" w:rsidR="730CDDFE">
        <w:rPr>
          <w:rFonts w:ascii="Aptos" w:hAnsi="Aptos" w:eastAsia="Aptos" w:cs="Aptos"/>
          <w:b w:val="1"/>
          <w:bCs w:val="1"/>
          <w:i w:val="0"/>
          <w:iCs w:val="0"/>
          <w:caps w:val="0"/>
          <w:smallCaps w:val="0"/>
          <w:noProof w:val="0"/>
          <w:color w:val="000000" w:themeColor="text1" w:themeTint="FF" w:themeShade="FF"/>
          <w:sz w:val="24"/>
          <w:szCs w:val="24"/>
          <w:lang w:val="en-US"/>
        </w:rPr>
        <w:t>National Salvation Front (NAS):</w:t>
      </w:r>
      <w:r w:rsidRPr="4E28F8CA" w:rsidR="730CDDFE">
        <w:rPr>
          <w:rFonts w:ascii="Aptos" w:hAnsi="Aptos" w:eastAsia="Aptos" w:cs="Aptos"/>
          <w:b w:val="0"/>
          <w:bCs w:val="0"/>
          <w:i w:val="0"/>
          <w:iCs w:val="0"/>
          <w:caps w:val="0"/>
          <w:smallCaps w:val="0"/>
          <w:noProof w:val="0"/>
          <w:color w:val="000000" w:themeColor="text1" w:themeTint="FF" w:themeShade="FF"/>
          <w:sz w:val="24"/>
          <w:szCs w:val="24"/>
          <w:lang w:val="en-US"/>
        </w:rPr>
        <w:t xml:space="preserve"> Rejection of peace agreements driving continued armed activity, posing severe threat to civilians and the peace process.</w:t>
      </w:r>
    </w:p>
    <w:p w:rsidR="5437B72A" w:rsidP="4E28F8CA" w:rsidRDefault="5437B72A" w14:paraId="33C99B54" w14:textId="63C76C86">
      <w:pPr>
        <w:pStyle w:val="ListParagraph"/>
        <w:numPr>
          <w:ilvl w:val="0"/>
          <w:numId w:val="4"/>
        </w:numPr>
        <w:spacing w:after="0" w:line="276" w:lineRule="auto"/>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E28F8CA" w:rsidR="730CDDFE">
        <w:rPr>
          <w:rFonts w:ascii="Aptos" w:hAnsi="Aptos" w:eastAsia="Aptos" w:cs="Aptos"/>
          <w:b w:val="1"/>
          <w:bCs w:val="1"/>
          <w:i w:val="0"/>
          <w:iCs w:val="0"/>
          <w:caps w:val="0"/>
          <w:smallCaps w:val="0"/>
          <w:noProof w:val="0"/>
          <w:color w:val="000000" w:themeColor="text1" w:themeTint="FF" w:themeShade="FF"/>
          <w:sz w:val="24"/>
          <w:szCs w:val="24"/>
          <w:lang w:val="en-US"/>
        </w:rPr>
        <w:t>Communal militias:</w:t>
      </w:r>
      <w:r w:rsidRPr="4E28F8CA" w:rsidR="730CDDFE">
        <w:rPr>
          <w:rFonts w:ascii="Aptos" w:hAnsi="Aptos" w:eastAsia="Aptos" w:cs="Aptos"/>
          <w:b w:val="0"/>
          <w:bCs w:val="0"/>
          <w:i w:val="0"/>
          <w:iCs w:val="0"/>
          <w:caps w:val="0"/>
          <w:smallCaps w:val="0"/>
          <w:noProof w:val="0"/>
          <w:color w:val="000000" w:themeColor="text1" w:themeTint="FF" w:themeShade="FF"/>
          <w:sz w:val="24"/>
          <w:szCs w:val="24"/>
          <w:lang w:val="en-US"/>
        </w:rPr>
        <w:t xml:space="preserve"> Persistent inter-communal violence along ethnic and clan lines driving cattle raiding and land disputes, at times supported by national elites.</w:t>
      </w:r>
    </w:p>
    <w:p w:rsidR="5437B72A" w:rsidP="4E28F8CA" w:rsidRDefault="5437B72A" w14:paraId="2EED6DB6" w14:textId="04B3160B">
      <w:pPr>
        <w:pStyle w:val="ListParagraph"/>
        <w:numPr>
          <w:ilvl w:val="0"/>
          <w:numId w:val="4"/>
        </w:numPr>
        <w:spacing w:after="0" w:line="276" w:lineRule="auto"/>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E28F8CA" w:rsidR="730CDDFE">
        <w:rPr>
          <w:rFonts w:ascii="Aptos" w:hAnsi="Aptos" w:eastAsia="Aptos" w:cs="Aptos"/>
          <w:b w:val="1"/>
          <w:bCs w:val="1"/>
          <w:i w:val="0"/>
          <w:iCs w:val="0"/>
          <w:caps w:val="0"/>
          <w:smallCaps w:val="0"/>
          <w:noProof w:val="0"/>
          <w:color w:val="000000" w:themeColor="text1" w:themeTint="FF" w:themeShade="FF"/>
          <w:sz w:val="24"/>
          <w:szCs w:val="24"/>
          <w:lang w:val="en-US"/>
        </w:rPr>
        <w:t>Dinka, Equatorian, and other ethnic communities:</w:t>
      </w:r>
      <w:r w:rsidRPr="4E28F8CA" w:rsidR="730CDDFE">
        <w:rPr>
          <w:rFonts w:ascii="Aptos" w:hAnsi="Aptos" w:eastAsia="Aptos" w:cs="Aptos"/>
          <w:b w:val="0"/>
          <w:bCs w:val="0"/>
          <w:i w:val="0"/>
          <w:iCs w:val="0"/>
          <w:caps w:val="0"/>
          <w:smallCaps w:val="0"/>
          <w:noProof w:val="0"/>
          <w:color w:val="000000" w:themeColor="text1" w:themeTint="FF" w:themeShade="FF"/>
          <w:sz w:val="24"/>
          <w:szCs w:val="24"/>
          <w:lang w:val="en-US"/>
        </w:rPr>
        <w:t xml:space="preserve"> Perceived Dinka dominance and Equatorian marginalization intensifying competition over land and political representation, at times driving aspirations for secession and active resistance.</w:t>
      </w:r>
    </w:p>
    <w:p w:rsidR="5437B72A" w:rsidP="4E28F8CA" w:rsidRDefault="5437B72A" w14:paraId="614ADA6A" w14:textId="02A2760F">
      <w:pPr>
        <w:pStyle w:val="Normal"/>
        <w:jc w:val="center"/>
        <w:rPr>
          <w:rFonts w:ascii="Aptos" w:hAnsi="Aptos" w:eastAsia="Aptos" w:cs="Aptos"/>
          <w:noProof w:val="0"/>
          <w:sz w:val="24"/>
          <w:szCs w:val="24"/>
          <w:lang w:val="en-US"/>
        </w:rPr>
      </w:pPr>
    </w:p>
    <w:p w:rsidR="5437B72A" w:rsidP="4E28F8CA" w:rsidRDefault="5437B72A" w14:paraId="1E1D2D08" w14:textId="1D8FE3C4">
      <w:pPr>
        <w:rPr>
          <w:rFonts w:ascii="Aptos" w:hAnsi="Aptos" w:eastAsia="Aptos" w:cs="Aptos"/>
          <w:b w:val="0"/>
          <w:bCs w:val="0"/>
          <w:i w:val="0"/>
          <w:iCs w:val="0"/>
          <w:caps w:val="0"/>
          <w:smallCaps w:val="0"/>
          <w:noProof w:val="0"/>
          <w:color w:val="000000" w:themeColor="text1" w:themeTint="FF" w:themeShade="FF"/>
          <w:sz w:val="24"/>
          <w:szCs w:val="24"/>
          <w:lang w:val="en-US"/>
        </w:rPr>
      </w:pPr>
      <w:r w:rsidRPr="4E28F8CA" w:rsidR="5DDD6210">
        <w:rPr>
          <w:rFonts w:ascii="Aptos" w:hAnsi="Aptos" w:eastAsia="Aptos" w:cs="Aptos"/>
          <w:b w:val="1"/>
          <w:bCs w:val="1"/>
          <w:i w:val="0"/>
          <w:iCs w:val="0"/>
          <w:caps w:val="0"/>
          <w:smallCaps w:val="0"/>
          <w:noProof w:val="0"/>
          <w:color w:val="000000" w:themeColor="text1" w:themeTint="FF" w:themeShade="FF"/>
          <w:sz w:val="24"/>
          <w:szCs w:val="24"/>
          <w:lang w:val="en-US"/>
        </w:rPr>
        <w:t xml:space="preserve">Regions with Strong Peace Building Capacity </w:t>
      </w:r>
      <w:r w:rsidRPr="4E28F8CA" w:rsidR="5DDD621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5437B72A" w:rsidP="4E28F8CA" w:rsidRDefault="5437B72A" w14:paraId="23B30717" w14:textId="1C32BC48">
      <w:pPr>
        <w:pStyle w:val="ListParagraph"/>
        <w:numPr>
          <w:ilvl w:val="0"/>
          <w:numId w:val="2"/>
        </w:numPr>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E28F8CA" w:rsidR="5DDD6210">
        <w:rPr>
          <w:rFonts w:ascii="Aptos" w:hAnsi="Aptos" w:eastAsia="Aptos" w:cs="Aptos"/>
          <w:b w:val="1"/>
          <w:bCs w:val="1"/>
          <w:i w:val="0"/>
          <w:iCs w:val="0"/>
          <w:caps w:val="0"/>
          <w:smallCaps w:val="0"/>
          <w:noProof w:val="0"/>
          <w:color w:val="000000" w:themeColor="text1" w:themeTint="FF" w:themeShade="FF"/>
          <w:sz w:val="24"/>
          <w:szCs w:val="24"/>
          <w:lang w:val="en-US"/>
        </w:rPr>
        <w:t>Central Equatoria</w:t>
      </w:r>
      <w:r w:rsidRPr="4E28F8CA" w:rsidR="5DDD6210">
        <w:rPr>
          <w:rFonts w:ascii="Aptos" w:hAnsi="Aptos" w:eastAsia="Aptos" w:cs="Aptos"/>
          <w:b w:val="0"/>
          <w:bCs w:val="0"/>
          <w:i w:val="0"/>
          <w:iCs w:val="0"/>
          <w:caps w:val="0"/>
          <w:smallCaps w:val="0"/>
          <w:noProof w:val="0"/>
          <w:color w:val="000000" w:themeColor="text1" w:themeTint="FF" w:themeShade="FF"/>
          <w:sz w:val="24"/>
          <w:szCs w:val="24"/>
          <w:lang w:val="en-US"/>
        </w:rPr>
        <w:t xml:space="preserve"> leads on health reflecting capital-city healthcare concentration. Its lower food security score likely reflects the presence of large IDP populations in Juba.</w:t>
      </w:r>
    </w:p>
    <w:p w:rsidR="5437B72A" w:rsidP="4E28F8CA" w:rsidRDefault="5437B72A" w14:paraId="5845C6CA" w14:textId="01B76593">
      <w:pPr>
        <w:pStyle w:val="ListParagraph"/>
        <w:numPr>
          <w:ilvl w:val="0"/>
          <w:numId w:val="2"/>
        </w:numPr>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E28F8CA" w:rsidR="5DDD6210">
        <w:rPr>
          <w:rFonts w:ascii="Aptos" w:hAnsi="Aptos" w:eastAsia="Aptos" w:cs="Aptos"/>
          <w:b w:val="1"/>
          <w:bCs w:val="1"/>
          <w:i w:val="0"/>
          <w:iCs w:val="0"/>
          <w:caps w:val="0"/>
          <w:smallCaps w:val="0"/>
          <w:noProof w:val="0"/>
          <w:color w:val="000000" w:themeColor="text1" w:themeTint="FF" w:themeShade="FF"/>
          <w:sz w:val="24"/>
          <w:szCs w:val="24"/>
          <w:lang w:val="en-US"/>
        </w:rPr>
        <w:t>Western Bahr el Ghazal</w:t>
      </w:r>
      <w:r w:rsidRPr="4E28F8CA" w:rsidR="5DDD6210">
        <w:rPr>
          <w:rFonts w:ascii="Aptos" w:hAnsi="Aptos" w:eastAsia="Aptos" w:cs="Aptos"/>
          <w:b w:val="0"/>
          <w:bCs w:val="0"/>
          <w:i w:val="0"/>
          <w:iCs w:val="0"/>
          <w:caps w:val="0"/>
          <w:smallCaps w:val="0"/>
          <w:noProof w:val="0"/>
          <w:color w:val="000000" w:themeColor="text1" w:themeTint="FF" w:themeShade="FF"/>
          <w:sz w:val="24"/>
          <w:szCs w:val="24"/>
          <w:lang w:val="en-US"/>
        </w:rPr>
        <w:t> stands out for very low conflict intensity, described as one of South Sudan's most politically stable states. This stability environment may have an enabling effect on better functioning public services. However, food security score likely understates actual stress.</w:t>
      </w:r>
    </w:p>
    <w:p w:rsidR="5437B72A" w:rsidP="4E28F8CA" w:rsidRDefault="5437B72A" w14:paraId="23439275" w14:textId="5D0D6393">
      <w:pPr>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585"/>
        <w:gridCol w:w="1350"/>
        <w:gridCol w:w="630"/>
        <w:gridCol w:w="1140"/>
        <w:gridCol w:w="780"/>
        <w:gridCol w:w="1095"/>
        <w:gridCol w:w="1365"/>
        <w:gridCol w:w="870"/>
        <w:gridCol w:w="1395"/>
      </w:tblGrid>
      <w:tr w:rsidR="4E28F8CA" w:rsidTr="4E28F8CA" w14:paraId="0F93426F">
        <w:trPr>
          <w:trHeight w:val="285"/>
        </w:trPr>
        <w:tc>
          <w:tcPr>
            <w:tcW w:w="585"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1FFBC5DF" w14:textId="03B72EA7">
            <w:pPr>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1"/>
                <w:bCs w:val="1"/>
                <w:i w:val="0"/>
                <w:iCs w:val="0"/>
                <w:caps w:val="0"/>
                <w:smallCaps w:val="0"/>
                <w:color w:val="000000" w:themeColor="text1" w:themeTint="FF" w:themeShade="FF"/>
                <w:sz w:val="24"/>
                <w:szCs w:val="24"/>
                <w:lang w:val="en-US"/>
              </w:rPr>
              <w:t>Rank</w:t>
            </w:r>
          </w:p>
        </w:tc>
        <w:tc>
          <w:tcPr>
            <w:tcW w:w="135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64B30DF6" w14:textId="338B2242">
            <w:pPr>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1"/>
                <w:bCs w:val="1"/>
                <w:i w:val="0"/>
                <w:iCs w:val="0"/>
                <w:caps w:val="0"/>
                <w:smallCaps w:val="0"/>
                <w:color w:val="000000" w:themeColor="text1" w:themeTint="FF" w:themeShade="FF"/>
                <w:sz w:val="24"/>
                <w:szCs w:val="24"/>
                <w:lang w:val="en-US"/>
              </w:rPr>
              <w:t>Region</w:t>
            </w:r>
          </w:p>
        </w:tc>
        <w:tc>
          <w:tcPr>
            <w:tcW w:w="63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3679839C" w14:textId="2D38197C">
            <w:pPr>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1"/>
                <w:bCs w:val="1"/>
                <w:i w:val="0"/>
                <w:iCs w:val="0"/>
                <w:caps w:val="0"/>
                <w:smallCaps w:val="0"/>
                <w:color w:val="000000" w:themeColor="text1" w:themeTint="FF" w:themeShade="FF"/>
                <w:sz w:val="24"/>
                <w:szCs w:val="24"/>
                <w:lang w:val="en-US"/>
              </w:rPr>
              <w:t>SEPI</w:t>
            </w:r>
          </w:p>
        </w:tc>
        <w:tc>
          <w:tcPr>
            <w:tcW w:w="114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762F94F8" w14:textId="37971C13">
            <w:pPr>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1"/>
                <w:bCs w:val="1"/>
                <w:i w:val="0"/>
                <w:iCs w:val="0"/>
                <w:caps w:val="0"/>
                <w:smallCaps w:val="0"/>
                <w:color w:val="000000" w:themeColor="text1" w:themeTint="FF" w:themeShade="FF"/>
                <w:sz w:val="24"/>
                <w:szCs w:val="24"/>
                <w:lang w:val="en-US"/>
              </w:rPr>
              <w:t>Education</w:t>
            </w:r>
          </w:p>
        </w:tc>
        <w:tc>
          <w:tcPr>
            <w:tcW w:w="78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1BD7A9A6" w14:textId="545C01E6">
            <w:pPr>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1"/>
                <w:bCs w:val="1"/>
                <w:i w:val="0"/>
                <w:iCs w:val="0"/>
                <w:caps w:val="0"/>
                <w:smallCaps w:val="0"/>
                <w:color w:val="000000" w:themeColor="text1" w:themeTint="FF" w:themeShade="FF"/>
                <w:sz w:val="24"/>
                <w:szCs w:val="24"/>
                <w:lang w:val="en-US"/>
              </w:rPr>
              <w:t>Health</w:t>
            </w:r>
          </w:p>
        </w:tc>
        <w:tc>
          <w:tcPr>
            <w:tcW w:w="1095"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37F63D41" w14:textId="2DCFABC8">
            <w:pPr>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1"/>
                <w:bCs w:val="1"/>
                <w:i w:val="0"/>
                <w:iCs w:val="0"/>
                <w:caps w:val="0"/>
                <w:smallCaps w:val="0"/>
                <w:color w:val="000000" w:themeColor="text1" w:themeTint="FF" w:themeShade="FF"/>
                <w:sz w:val="24"/>
                <w:szCs w:val="24"/>
                <w:lang w:val="en-US"/>
              </w:rPr>
              <w:t>Food Security</w:t>
            </w:r>
          </w:p>
        </w:tc>
        <w:tc>
          <w:tcPr>
            <w:tcW w:w="1365"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3D75EB02" w14:textId="497C87FB">
            <w:pPr>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1"/>
                <w:bCs w:val="1"/>
                <w:i w:val="0"/>
                <w:iCs w:val="0"/>
                <w:caps w:val="0"/>
                <w:smallCaps w:val="0"/>
                <w:color w:val="000000" w:themeColor="text1" w:themeTint="FF" w:themeShade="FF"/>
                <w:sz w:val="24"/>
                <w:szCs w:val="24"/>
                <w:lang w:val="en-US"/>
              </w:rPr>
              <w:t>Poverty Reduction</w:t>
            </w:r>
          </w:p>
        </w:tc>
        <w:tc>
          <w:tcPr>
            <w:tcW w:w="870" w:type="dxa"/>
            <w:tcBorders>
              <w:top w:val="single" w:sz="6"/>
              <w:left w:val="single" w:sz="6"/>
              <w:bottom w:val="single" w:sz="6"/>
              <w:right w:val="single" w:sz="6"/>
            </w:tcBorders>
            <w:tcMar>
              <w:top w:w="15" w:type="dxa"/>
              <w:left w:w="15" w:type="dxa"/>
              <w:bottom w:w="15" w:type="dxa"/>
              <w:right w:w="15" w:type="dxa"/>
            </w:tcMar>
            <w:vAlign w:val="top"/>
          </w:tcPr>
          <w:p w:rsidR="4E28F8CA" w:rsidP="4E28F8CA" w:rsidRDefault="4E28F8CA" w14:paraId="208BC99F" w14:textId="2E8415F5">
            <w:pPr>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1"/>
                <w:bCs w:val="1"/>
                <w:i w:val="0"/>
                <w:iCs w:val="0"/>
                <w:caps w:val="0"/>
                <w:smallCaps w:val="0"/>
                <w:color w:val="000000" w:themeColor="text1" w:themeTint="FF" w:themeShade="FF"/>
                <w:sz w:val="24"/>
                <w:szCs w:val="24"/>
                <w:lang w:val="en-US"/>
              </w:rPr>
              <w:t>Climate</w:t>
            </w:r>
          </w:p>
        </w:tc>
        <w:tc>
          <w:tcPr>
            <w:tcW w:w="1395"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7D194604" w14:textId="701C7ABA">
            <w:pPr>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1"/>
                <w:bCs w:val="1"/>
                <w:i w:val="0"/>
                <w:iCs w:val="0"/>
                <w:caps w:val="0"/>
                <w:smallCaps w:val="0"/>
                <w:color w:val="000000" w:themeColor="text1" w:themeTint="FF" w:themeShade="FF"/>
                <w:sz w:val="24"/>
                <w:szCs w:val="24"/>
                <w:lang w:val="en-US"/>
              </w:rPr>
              <w:t>Conflict Events /100k (2025)</w:t>
            </w:r>
          </w:p>
        </w:tc>
      </w:tr>
      <w:tr w:rsidR="4E28F8CA" w:rsidTr="4E28F8CA" w14:paraId="28698149">
        <w:trPr>
          <w:trHeight w:val="285"/>
        </w:trPr>
        <w:tc>
          <w:tcPr>
            <w:tcW w:w="585"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6775CA3B" w14:textId="43327DE7">
            <w:pPr>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1</w:t>
            </w:r>
          </w:p>
        </w:tc>
        <w:tc>
          <w:tcPr>
            <w:tcW w:w="135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3FC52090" w14:textId="3D65DCFF">
            <w:pPr>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Western Equatoria</w:t>
            </w:r>
          </w:p>
        </w:tc>
        <w:tc>
          <w:tcPr>
            <w:tcW w:w="63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0F60FCFD" w14:textId="7CEDBFBE">
            <w:pPr>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0.651</w:t>
            </w:r>
          </w:p>
        </w:tc>
        <w:tc>
          <w:tcPr>
            <w:tcW w:w="114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03EF4894" w14:textId="37EF6B11">
            <w:pPr>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0.686</w:t>
            </w:r>
          </w:p>
        </w:tc>
        <w:tc>
          <w:tcPr>
            <w:tcW w:w="78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67BD08A5" w14:textId="1778E557">
            <w:pPr>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0.511</w:t>
            </w:r>
          </w:p>
        </w:tc>
        <w:tc>
          <w:tcPr>
            <w:tcW w:w="1095"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0C28AA6D" w14:textId="05A869DA">
            <w:pPr>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1.000</w:t>
            </w:r>
          </w:p>
        </w:tc>
        <w:tc>
          <w:tcPr>
            <w:tcW w:w="1365"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66093FF8" w14:textId="3EFE00B8">
            <w:pPr>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0.955</w:t>
            </w:r>
          </w:p>
        </w:tc>
        <w:tc>
          <w:tcPr>
            <w:tcW w:w="870" w:type="dxa"/>
            <w:tcBorders>
              <w:top w:val="single" w:sz="6"/>
              <w:left w:val="single" w:sz="6"/>
              <w:bottom w:val="single" w:sz="6"/>
              <w:right w:val="single" w:sz="6"/>
            </w:tcBorders>
            <w:tcMar>
              <w:top w:w="15" w:type="dxa"/>
              <w:left w:w="15" w:type="dxa"/>
              <w:bottom w:w="15" w:type="dxa"/>
              <w:right w:w="15" w:type="dxa"/>
            </w:tcMar>
            <w:vAlign w:val="top"/>
          </w:tcPr>
          <w:p w:rsidR="4E28F8CA" w:rsidP="4E28F8CA" w:rsidRDefault="4E28F8CA" w14:paraId="3D828FBE" w14:textId="49816A79">
            <w:pPr>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0.349</w:t>
            </w:r>
          </w:p>
        </w:tc>
        <w:tc>
          <w:tcPr>
            <w:tcW w:w="1395"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786E7BCE" w14:textId="03DDD177">
            <w:pPr>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21</w:t>
            </w:r>
          </w:p>
        </w:tc>
      </w:tr>
      <w:tr w:rsidR="4E28F8CA" w:rsidTr="4E28F8CA" w14:paraId="4DE0A316">
        <w:trPr>
          <w:trHeight w:val="285"/>
        </w:trPr>
        <w:tc>
          <w:tcPr>
            <w:tcW w:w="585"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7B8487BD" w14:textId="698ADA8A">
            <w:pPr>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2</w:t>
            </w:r>
          </w:p>
        </w:tc>
        <w:tc>
          <w:tcPr>
            <w:tcW w:w="135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46F8685D" w14:textId="323983E7">
            <w:pPr>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Eastern Equatoria</w:t>
            </w:r>
          </w:p>
        </w:tc>
        <w:tc>
          <w:tcPr>
            <w:tcW w:w="63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0DE0D648" w14:textId="1E15213C">
            <w:pPr>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0.585</w:t>
            </w:r>
          </w:p>
        </w:tc>
        <w:tc>
          <w:tcPr>
            <w:tcW w:w="114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35973ABC" w14:textId="124ED83A">
            <w:pPr>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0.549</w:t>
            </w:r>
          </w:p>
        </w:tc>
        <w:tc>
          <w:tcPr>
            <w:tcW w:w="78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006036D4" w14:textId="2391859E">
            <w:pPr>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0.417</w:t>
            </w:r>
          </w:p>
        </w:tc>
        <w:tc>
          <w:tcPr>
            <w:tcW w:w="1095"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7D56079C" w14:textId="4CA6B15C">
            <w:pPr>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0.538</w:t>
            </w:r>
          </w:p>
        </w:tc>
        <w:tc>
          <w:tcPr>
            <w:tcW w:w="1365"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7A8BE20A" w14:textId="7FB40AF9">
            <w:pPr>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0.774</w:t>
            </w:r>
          </w:p>
        </w:tc>
        <w:tc>
          <w:tcPr>
            <w:tcW w:w="870" w:type="dxa"/>
            <w:tcBorders>
              <w:top w:val="single" w:sz="6"/>
              <w:left w:val="single" w:sz="6"/>
              <w:bottom w:val="single" w:sz="6"/>
              <w:right w:val="single" w:sz="6"/>
            </w:tcBorders>
            <w:tcMar>
              <w:top w:w="15" w:type="dxa"/>
              <w:left w:w="15" w:type="dxa"/>
              <w:bottom w:w="15" w:type="dxa"/>
              <w:right w:w="15" w:type="dxa"/>
            </w:tcMar>
            <w:vAlign w:val="top"/>
          </w:tcPr>
          <w:p w:rsidR="4E28F8CA" w:rsidP="4E28F8CA" w:rsidRDefault="4E28F8CA" w14:paraId="05C27B96" w14:textId="6E7B6152">
            <w:pPr>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0.720</w:t>
            </w:r>
          </w:p>
        </w:tc>
        <w:tc>
          <w:tcPr>
            <w:tcW w:w="1395"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59F7DE1E" w14:textId="26A951CB">
            <w:pPr>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10</w:t>
            </w:r>
          </w:p>
        </w:tc>
      </w:tr>
      <w:tr w:rsidR="4E28F8CA" w:rsidTr="4E28F8CA" w14:paraId="2575F900">
        <w:trPr>
          <w:trHeight w:val="285"/>
        </w:trPr>
        <w:tc>
          <w:tcPr>
            <w:tcW w:w="585"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1EF572B7" w14:textId="396CEDA6">
            <w:pPr>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3</w:t>
            </w:r>
          </w:p>
        </w:tc>
        <w:tc>
          <w:tcPr>
            <w:tcW w:w="135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39B3D9C6" w14:textId="62399764">
            <w:pPr>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Western Bahr el Ghazal</w:t>
            </w:r>
          </w:p>
        </w:tc>
        <w:tc>
          <w:tcPr>
            <w:tcW w:w="63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16A3AFC9" w14:textId="5AF9647C">
            <w:pPr>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0.572</w:t>
            </w:r>
          </w:p>
        </w:tc>
        <w:tc>
          <w:tcPr>
            <w:tcW w:w="114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5566DE17" w14:textId="35B89F46">
            <w:pPr>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0.628</w:t>
            </w:r>
          </w:p>
        </w:tc>
        <w:tc>
          <w:tcPr>
            <w:tcW w:w="78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798EABAB" w14:textId="2DF974DE">
            <w:pPr>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0.675</w:t>
            </w:r>
          </w:p>
        </w:tc>
        <w:tc>
          <w:tcPr>
            <w:tcW w:w="1095"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6DAF257E" w14:textId="2676E581">
            <w:pPr>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0.615</w:t>
            </w:r>
          </w:p>
        </w:tc>
        <w:tc>
          <w:tcPr>
            <w:tcW w:w="1365"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1A4A9E78" w14:textId="4EA73F3F">
            <w:pPr>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0.702</w:t>
            </w:r>
          </w:p>
        </w:tc>
        <w:tc>
          <w:tcPr>
            <w:tcW w:w="870" w:type="dxa"/>
            <w:tcBorders>
              <w:top w:val="single" w:sz="6"/>
              <w:left w:val="single" w:sz="6"/>
              <w:bottom w:val="single" w:sz="6"/>
              <w:right w:val="single" w:sz="6"/>
            </w:tcBorders>
            <w:tcMar>
              <w:top w:w="15" w:type="dxa"/>
              <w:left w:w="15" w:type="dxa"/>
              <w:bottom w:w="15" w:type="dxa"/>
              <w:right w:w="15" w:type="dxa"/>
            </w:tcMar>
            <w:vAlign w:val="top"/>
          </w:tcPr>
          <w:p w:rsidR="4E28F8CA" w:rsidP="4E28F8CA" w:rsidRDefault="4E28F8CA" w14:paraId="64508233" w14:textId="3A23333E">
            <w:pPr>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0.333</w:t>
            </w:r>
          </w:p>
        </w:tc>
        <w:tc>
          <w:tcPr>
            <w:tcW w:w="1395"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188B813E" w14:textId="42E5E04C">
            <w:pPr>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5</w:t>
            </w:r>
          </w:p>
        </w:tc>
      </w:tr>
      <w:tr w:rsidR="4E28F8CA" w:rsidTr="4E28F8CA" w14:paraId="41305AB3">
        <w:trPr>
          <w:trHeight w:val="285"/>
        </w:trPr>
        <w:tc>
          <w:tcPr>
            <w:tcW w:w="585"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7D1DAECA" w14:textId="71355F24">
            <w:pPr>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4</w:t>
            </w:r>
          </w:p>
        </w:tc>
        <w:tc>
          <w:tcPr>
            <w:tcW w:w="135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65A4E7F5" w14:textId="79F13052">
            <w:pPr>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Central Equatoria</w:t>
            </w:r>
          </w:p>
        </w:tc>
        <w:tc>
          <w:tcPr>
            <w:tcW w:w="63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297D4DC5" w14:textId="7475B364">
            <w:pPr>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0.528</w:t>
            </w:r>
          </w:p>
        </w:tc>
        <w:tc>
          <w:tcPr>
            <w:tcW w:w="114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09749941" w14:textId="1B05D594">
            <w:pPr>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0.577</w:t>
            </w:r>
          </w:p>
        </w:tc>
        <w:tc>
          <w:tcPr>
            <w:tcW w:w="78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505D8F5C" w14:textId="38E03A81">
            <w:pPr>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0.764</w:t>
            </w:r>
          </w:p>
        </w:tc>
        <w:tc>
          <w:tcPr>
            <w:tcW w:w="1095"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341F3B46" w14:textId="58E3B681">
            <w:pPr>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0.333</w:t>
            </w:r>
          </w:p>
        </w:tc>
        <w:tc>
          <w:tcPr>
            <w:tcW w:w="1365"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5BFF6B48" w14:textId="1ACCBDCB">
            <w:pPr>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0.720</w:t>
            </w:r>
          </w:p>
        </w:tc>
        <w:tc>
          <w:tcPr>
            <w:tcW w:w="870" w:type="dxa"/>
            <w:tcBorders>
              <w:top w:val="single" w:sz="6"/>
              <w:left w:val="single" w:sz="6"/>
              <w:bottom w:val="single" w:sz="6"/>
              <w:right w:val="single" w:sz="6"/>
            </w:tcBorders>
            <w:tcMar>
              <w:top w:w="15" w:type="dxa"/>
              <w:left w:w="15" w:type="dxa"/>
              <w:bottom w:w="15" w:type="dxa"/>
              <w:right w:w="15" w:type="dxa"/>
            </w:tcMar>
            <w:vAlign w:val="top"/>
          </w:tcPr>
          <w:p w:rsidR="4E28F8CA" w:rsidP="4E28F8CA" w:rsidRDefault="4E28F8CA" w14:paraId="554F7C90" w14:textId="1C8877B2">
            <w:pPr>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0.386</w:t>
            </w:r>
          </w:p>
        </w:tc>
        <w:tc>
          <w:tcPr>
            <w:tcW w:w="1395"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06A12499" w14:textId="5E51A6FE">
            <w:pPr>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17</w:t>
            </w:r>
          </w:p>
        </w:tc>
      </w:tr>
    </w:tbl>
    <w:p w:rsidR="5437B72A" w:rsidP="4E28F8CA" w:rsidRDefault="5437B72A" w14:paraId="70357702" w14:textId="58D920D0">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5437B72A" w:rsidP="4E28F8CA" w:rsidRDefault="5437B72A" w14:paraId="09944192" w14:textId="3B0DF956">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4E28F8CA" w:rsidR="5DDD6210">
        <w:rPr>
          <w:rFonts w:ascii="Aptos" w:hAnsi="Aptos" w:eastAsia="Aptos" w:cs="Aptos"/>
          <w:b w:val="1"/>
          <w:bCs w:val="1"/>
          <w:i w:val="0"/>
          <w:iCs w:val="0"/>
          <w:caps w:val="0"/>
          <w:smallCaps w:val="0"/>
          <w:noProof w:val="0"/>
          <w:color w:val="000000" w:themeColor="text1" w:themeTint="FF" w:themeShade="FF"/>
          <w:sz w:val="24"/>
          <w:szCs w:val="24"/>
          <w:lang w:val="en-US"/>
        </w:rPr>
        <w:t xml:space="preserve">Regions with Weak Peace Building Capacity  </w:t>
      </w:r>
    </w:p>
    <w:p w:rsidR="5437B72A" w:rsidP="4E28F8CA" w:rsidRDefault="5437B72A" w14:paraId="5309B026" w14:textId="0D491F69">
      <w:pPr>
        <w:pStyle w:val="ListParagraph"/>
        <w:numPr>
          <w:ilvl w:val="0"/>
          <w:numId w:val="3"/>
        </w:numPr>
        <w:bidi w:val="0"/>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E28F8CA" w:rsidR="5DDD6210">
        <w:rPr>
          <w:rFonts w:ascii="Aptos" w:hAnsi="Aptos" w:eastAsia="Aptos" w:cs="Aptos"/>
          <w:b w:val="1"/>
          <w:bCs w:val="1"/>
          <w:i w:val="0"/>
          <w:iCs w:val="0"/>
          <w:caps w:val="0"/>
          <w:smallCaps w:val="0"/>
          <w:noProof w:val="0"/>
          <w:color w:val="000000" w:themeColor="text1" w:themeTint="FF" w:themeShade="FF"/>
          <w:sz w:val="24"/>
          <w:szCs w:val="24"/>
          <w:lang w:val="en-US"/>
        </w:rPr>
        <w:t>Unity is a severe outlier,</w:t>
      </w:r>
      <w:r w:rsidRPr="4E28F8CA" w:rsidR="5DDD6210">
        <w:rPr>
          <w:rFonts w:ascii="Aptos" w:hAnsi="Aptos" w:eastAsia="Aptos" w:cs="Aptos"/>
          <w:b w:val="0"/>
          <w:bCs w:val="0"/>
          <w:i w:val="0"/>
          <w:iCs w:val="0"/>
          <w:caps w:val="0"/>
          <w:smallCaps w:val="0"/>
          <w:noProof w:val="0"/>
          <w:color w:val="000000" w:themeColor="text1" w:themeTint="FF" w:themeShade="FF"/>
          <w:sz w:val="24"/>
          <w:szCs w:val="24"/>
          <w:lang w:val="en-US"/>
        </w:rPr>
        <w:t xml:space="preserve"> having the lowest food security score in the country. Despite holding South Sudan's oil wealth, Unity's poverty reduction score and overall SEPI signal that oil revenue is not reaching the population's welfare.</w:t>
      </w:r>
    </w:p>
    <w:p w:rsidR="5437B72A" w:rsidP="4E28F8CA" w:rsidRDefault="5437B72A" w14:paraId="7443E5A7" w14:textId="3688DA4E">
      <w:pPr>
        <w:pStyle w:val="ListParagraph"/>
        <w:numPr>
          <w:ilvl w:val="0"/>
          <w:numId w:val="3"/>
        </w:numPr>
        <w:bidi w:val="0"/>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E28F8CA" w:rsidR="5DDD6210">
        <w:rPr>
          <w:rFonts w:ascii="Aptos" w:hAnsi="Aptos" w:eastAsia="Aptos" w:cs="Aptos"/>
          <w:b w:val="1"/>
          <w:bCs w:val="1"/>
          <w:i w:val="0"/>
          <w:iCs w:val="0"/>
          <w:caps w:val="0"/>
          <w:smallCaps w:val="0"/>
          <w:noProof w:val="0"/>
          <w:color w:val="000000" w:themeColor="text1" w:themeTint="FF" w:themeShade="FF"/>
          <w:sz w:val="24"/>
          <w:szCs w:val="24"/>
          <w:lang w:val="en-US"/>
        </w:rPr>
        <w:t>Jonglei's health collapse</w:t>
      </w:r>
      <w:r w:rsidRPr="4E28F8CA" w:rsidR="5DDD6210">
        <w:rPr>
          <w:rFonts w:ascii="Aptos" w:hAnsi="Aptos" w:eastAsia="Aptos" w:cs="Aptos"/>
          <w:b w:val="0"/>
          <w:bCs w:val="0"/>
          <w:i w:val="0"/>
          <w:iCs w:val="0"/>
          <w:caps w:val="0"/>
          <w:smallCaps w:val="0"/>
          <w:noProof w:val="0"/>
          <w:color w:val="000000" w:themeColor="text1" w:themeTint="FF" w:themeShade="FF"/>
          <w:sz w:val="24"/>
          <w:szCs w:val="24"/>
          <w:lang w:val="en-US"/>
        </w:rPr>
        <w:t> is the starkest single-pillar finding in South Sudan: the lowest health pillar score. Active military confrontation since late 2025 has damaged, looted, and shut down health facilities. 1.35 million people have lost access to health services. 73,000 face starvation in Jonglei and Upper Nile combined (March 2026 data).</w:t>
      </w:r>
    </w:p>
    <w:p w:rsidR="5437B72A" w:rsidP="4E28F8CA" w:rsidRDefault="5437B72A" w14:paraId="49174539" w14:textId="08C6CBBC">
      <w:pPr>
        <w:pStyle w:val="ListParagraph"/>
        <w:numPr>
          <w:ilvl w:val="0"/>
          <w:numId w:val="3"/>
        </w:numPr>
        <w:bidi w:val="0"/>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E28F8CA" w:rsidR="5DDD6210">
        <w:rPr>
          <w:rFonts w:ascii="Aptos" w:hAnsi="Aptos" w:eastAsia="Aptos" w:cs="Aptos"/>
          <w:b w:val="1"/>
          <w:bCs w:val="1"/>
          <w:i w:val="0"/>
          <w:iCs w:val="0"/>
          <w:caps w:val="0"/>
          <w:smallCaps w:val="0"/>
          <w:noProof w:val="0"/>
          <w:color w:val="000000" w:themeColor="text1" w:themeTint="FF" w:themeShade="FF"/>
          <w:sz w:val="24"/>
          <w:szCs w:val="24"/>
          <w:lang w:val="en-US"/>
        </w:rPr>
        <w:t xml:space="preserve">Upper Nile </w:t>
      </w:r>
      <w:r w:rsidRPr="4E28F8CA" w:rsidR="5DDD6210">
        <w:rPr>
          <w:rFonts w:ascii="Aptos" w:hAnsi="Aptos" w:eastAsia="Aptos" w:cs="Aptos"/>
          <w:b w:val="0"/>
          <w:bCs w:val="0"/>
          <w:i w:val="0"/>
          <w:iCs w:val="0"/>
          <w:caps w:val="0"/>
          <w:smallCaps w:val="0"/>
          <w:noProof w:val="0"/>
          <w:color w:val="000000" w:themeColor="text1" w:themeTint="FF" w:themeShade="FF"/>
          <w:sz w:val="24"/>
          <w:szCs w:val="24"/>
          <w:lang w:val="en-US"/>
        </w:rPr>
        <w:t>has a very low poverty reduction pillar score despite Paloch oilfields. This suggests oil production revenue does not translate to local welfare indicators, consistent with IDP numbers and conflict over resource control rather than development.</w:t>
      </w:r>
    </w:p>
    <w:p w:rsidR="5437B72A" w:rsidP="4E28F8CA" w:rsidRDefault="5437B72A" w14:paraId="351F1679" w14:textId="020D8F7B">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4E28F8CA" w:rsidR="5DDD621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585"/>
        <w:gridCol w:w="1275"/>
        <w:gridCol w:w="630"/>
        <w:gridCol w:w="1140"/>
        <w:gridCol w:w="990"/>
        <w:gridCol w:w="1050"/>
        <w:gridCol w:w="1320"/>
        <w:gridCol w:w="870"/>
        <w:gridCol w:w="1320"/>
      </w:tblGrid>
      <w:tr w:rsidR="4E28F8CA" w:rsidTr="4E28F8CA" w14:paraId="67E14527">
        <w:trPr>
          <w:trHeight w:val="285"/>
        </w:trPr>
        <w:tc>
          <w:tcPr>
            <w:tcW w:w="585"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66DE7810" w14:textId="11F281F2">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1"/>
                <w:bCs w:val="1"/>
                <w:i w:val="0"/>
                <w:iCs w:val="0"/>
                <w:caps w:val="0"/>
                <w:smallCaps w:val="0"/>
                <w:color w:val="000000" w:themeColor="text1" w:themeTint="FF" w:themeShade="FF"/>
                <w:sz w:val="24"/>
                <w:szCs w:val="24"/>
                <w:lang w:val="en-US"/>
              </w:rPr>
              <w:t>Rank</w:t>
            </w:r>
          </w:p>
        </w:tc>
        <w:tc>
          <w:tcPr>
            <w:tcW w:w="1275"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22D1BAC3" w14:textId="4D980AD2">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1"/>
                <w:bCs w:val="1"/>
                <w:i w:val="0"/>
                <w:iCs w:val="0"/>
                <w:caps w:val="0"/>
                <w:smallCaps w:val="0"/>
                <w:color w:val="000000" w:themeColor="text1" w:themeTint="FF" w:themeShade="FF"/>
                <w:sz w:val="24"/>
                <w:szCs w:val="24"/>
                <w:lang w:val="en-US"/>
              </w:rPr>
              <w:t>Region</w:t>
            </w:r>
          </w:p>
        </w:tc>
        <w:tc>
          <w:tcPr>
            <w:tcW w:w="63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73EF55AE" w14:textId="3288CCEB">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1"/>
                <w:bCs w:val="1"/>
                <w:i w:val="0"/>
                <w:iCs w:val="0"/>
                <w:caps w:val="0"/>
                <w:smallCaps w:val="0"/>
                <w:color w:val="000000" w:themeColor="text1" w:themeTint="FF" w:themeShade="FF"/>
                <w:sz w:val="24"/>
                <w:szCs w:val="24"/>
                <w:lang w:val="en-US"/>
              </w:rPr>
              <w:t>SEPI</w:t>
            </w:r>
          </w:p>
        </w:tc>
        <w:tc>
          <w:tcPr>
            <w:tcW w:w="114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14C7B10A" w14:textId="438E43F6">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1"/>
                <w:bCs w:val="1"/>
                <w:i w:val="0"/>
                <w:iCs w:val="0"/>
                <w:caps w:val="0"/>
                <w:smallCaps w:val="0"/>
                <w:color w:val="000000" w:themeColor="text1" w:themeTint="FF" w:themeShade="FF"/>
                <w:sz w:val="24"/>
                <w:szCs w:val="24"/>
                <w:lang w:val="en-US"/>
              </w:rPr>
              <w:t>Education</w:t>
            </w:r>
          </w:p>
        </w:tc>
        <w:tc>
          <w:tcPr>
            <w:tcW w:w="99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57DE42F4" w14:textId="0AAE6150">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1"/>
                <w:bCs w:val="1"/>
                <w:i w:val="0"/>
                <w:iCs w:val="0"/>
                <w:caps w:val="0"/>
                <w:smallCaps w:val="0"/>
                <w:color w:val="000000" w:themeColor="text1" w:themeTint="FF" w:themeShade="FF"/>
                <w:sz w:val="24"/>
                <w:szCs w:val="24"/>
                <w:lang w:val="en-US"/>
              </w:rPr>
              <w:t>Health Access</w:t>
            </w:r>
          </w:p>
        </w:tc>
        <w:tc>
          <w:tcPr>
            <w:tcW w:w="105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506F6B9A" w14:textId="72B1D1AF">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1"/>
                <w:bCs w:val="1"/>
                <w:i w:val="0"/>
                <w:iCs w:val="0"/>
                <w:caps w:val="0"/>
                <w:smallCaps w:val="0"/>
                <w:color w:val="000000" w:themeColor="text1" w:themeTint="FF" w:themeShade="FF"/>
                <w:sz w:val="24"/>
                <w:szCs w:val="24"/>
                <w:lang w:val="en-US"/>
              </w:rPr>
              <w:t>Food Security</w:t>
            </w:r>
          </w:p>
        </w:tc>
        <w:tc>
          <w:tcPr>
            <w:tcW w:w="132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6EB431A4" w14:textId="0674496A">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1"/>
                <w:bCs w:val="1"/>
                <w:i w:val="0"/>
                <w:iCs w:val="0"/>
                <w:caps w:val="0"/>
                <w:smallCaps w:val="0"/>
                <w:color w:val="000000" w:themeColor="text1" w:themeTint="FF" w:themeShade="FF"/>
                <w:sz w:val="24"/>
                <w:szCs w:val="24"/>
                <w:lang w:val="en-US"/>
              </w:rPr>
              <w:t>Poverty Reduction</w:t>
            </w:r>
          </w:p>
        </w:tc>
        <w:tc>
          <w:tcPr>
            <w:tcW w:w="870" w:type="dxa"/>
            <w:tcBorders>
              <w:top w:val="single" w:sz="6"/>
              <w:left w:val="single" w:sz="6"/>
              <w:bottom w:val="single" w:sz="6"/>
              <w:right w:val="single" w:sz="6"/>
            </w:tcBorders>
            <w:tcMar>
              <w:top w:w="15" w:type="dxa"/>
              <w:left w:w="15" w:type="dxa"/>
              <w:bottom w:w="15" w:type="dxa"/>
              <w:right w:w="15" w:type="dxa"/>
            </w:tcMar>
            <w:vAlign w:val="top"/>
          </w:tcPr>
          <w:p w:rsidR="4E28F8CA" w:rsidP="4E28F8CA" w:rsidRDefault="4E28F8CA" w14:paraId="1590F1AE" w14:textId="42473495">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1"/>
                <w:bCs w:val="1"/>
                <w:i w:val="0"/>
                <w:iCs w:val="0"/>
                <w:caps w:val="0"/>
                <w:smallCaps w:val="0"/>
                <w:color w:val="000000" w:themeColor="text1" w:themeTint="FF" w:themeShade="FF"/>
                <w:sz w:val="24"/>
                <w:szCs w:val="24"/>
                <w:lang w:val="en-US"/>
              </w:rPr>
              <w:t>Climate</w:t>
            </w:r>
          </w:p>
        </w:tc>
        <w:tc>
          <w:tcPr>
            <w:tcW w:w="132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6F7F0AA8" w14:textId="1716A959">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1"/>
                <w:bCs w:val="1"/>
                <w:i w:val="0"/>
                <w:iCs w:val="0"/>
                <w:caps w:val="0"/>
                <w:smallCaps w:val="0"/>
                <w:color w:val="000000" w:themeColor="text1" w:themeTint="FF" w:themeShade="FF"/>
                <w:sz w:val="24"/>
                <w:szCs w:val="24"/>
                <w:lang w:val="en-US"/>
              </w:rPr>
              <w:t xml:space="preserve"> Conflict Events /100k (2025)</w:t>
            </w:r>
          </w:p>
        </w:tc>
      </w:tr>
      <w:tr w:rsidR="4E28F8CA" w:rsidTr="4E28F8CA" w14:paraId="1B4292F6">
        <w:trPr>
          <w:trHeight w:val="285"/>
        </w:trPr>
        <w:tc>
          <w:tcPr>
            <w:tcW w:w="585"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1014D09E" w14:textId="5BA11695">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10</w:t>
            </w:r>
          </w:p>
        </w:tc>
        <w:tc>
          <w:tcPr>
            <w:tcW w:w="1275"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411B31D8" w14:textId="713DE9E9">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Unity</w:t>
            </w:r>
          </w:p>
        </w:tc>
        <w:tc>
          <w:tcPr>
            <w:tcW w:w="63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38BDADAD" w14:textId="1B539F12">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0.095</w:t>
            </w:r>
          </w:p>
        </w:tc>
        <w:tc>
          <w:tcPr>
            <w:tcW w:w="114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03864AD9" w14:textId="14E4C772">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0.414</w:t>
            </w:r>
          </w:p>
        </w:tc>
        <w:tc>
          <w:tcPr>
            <w:tcW w:w="99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26E6B5A0" w14:textId="65736773">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0.228</w:t>
            </w:r>
          </w:p>
        </w:tc>
        <w:tc>
          <w:tcPr>
            <w:tcW w:w="105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69462447" w14:textId="4657E438">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0.000</w:t>
            </w:r>
          </w:p>
        </w:tc>
        <w:tc>
          <w:tcPr>
            <w:tcW w:w="132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574D80D6" w14:textId="28B67624">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0.321</w:t>
            </w:r>
          </w:p>
        </w:tc>
        <w:tc>
          <w:tcPr>
            <w:tcW w:w="870" w:type="dxa"/>
            <w:tcBorders>
              <w:top w:val="single" w:sz="6"/>
              <w:left w:val="single" w:sz="6"/>
              <w:bottom w:val="single" w:sz="6"/>
              <w:right w:val="single" w:sz="6"/>
            </w:tcBorders>
            <w:tcMar>
              <w:top w:w="15" w:type="dxa"/>
              <w:left w:w="15" w:type="dxa"/>
              <w:bottom w:w="15" w:type="dxa"/>
              <w:right w:w="15" w:type="dxa"/>
            </w:tcMar>
            <w:vAlign w:val="top"/>
          </w:tcPr>
          <w:p w:rsidR="4E28F8CA" w:rsidP="4E28F8CA" w:rsidRDefault="4E28F8CA" w14:paraId="3A612201" w14:textId="0D342F91">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0.250</w:t>
            </w:r>
          </w:p>
        </w:tc>
        <w:tc>
          <w:tcPr>
            <w:tcW w:w="132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31B5851E" w14:textId="6EAE1390">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11</w:t>
            </w:r>
          </w:p>
        </w:tc>
      </w:tr>
      <w:tr w:rsidR="4E28F8CA" w:rsidTr="4E28F8CA" w14:paraId="5B139AAF">
        <w:trPr>
          <w:trHeight w:val="285"/>
        </w:trPr>
        <w:tc>
          <w:tcPr>
            <w:tcW w:w="585"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50CA545C" w14:textId="4A03C655">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9</w:t>
            </w:r>
          </w:p>
        </w:tc>
        <w:tc>
          <w:tcPr>
            <w:tcW w:w="1275"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78708D62" w14:textId="36AAA01B">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Jonglei</w:t>
            </w:r>
          </w:p>
        </w:tc>
        <w:tc>
          <w:tcPr>
            <w:tcW w:w="63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77CD25E3" w14:textId="05AC8F67">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0.205</w:t>
            </w:r>
          </w:p>
        </w:tc>
        <w:tc>
          <w:tcPr>
            <w:tcW w:w="114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4CA289AB" w14:textId="2CC2E84E">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0.374</w:t>
            </w:r>
          </w:p>
        </w:tc>
        <w:tc>
          <w:tcPr>
            <w:tcW w:w="99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58C58FBC" w14:textId="5E58A9DA">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0.034</w:t>
            </w:r>
          </w:p>
        </w:tc>
        <w:tc>
          <w:tcPr>
            <w:tcW w:w="105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02ADABC5" w14:textId="5887010F">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0.205</w:t>
            </w:r>
          </w:p>
        </w:tc>
        <w:tc>
          <w:tcPr>
            <w:tcW w:w="132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0A0A7A93" w14:textId="581D7E7D">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0.413</w:t>
            </w:r>
          </w:p>
        </w:tc>
        <w:tc>
          <w:tcPr>
            <w:tcW w:w="870" w:type="dxa"/>
            <w:tcBorders>
              <w:top w:val="single" w:sz="6"/>
              <w:left w:val="single" w:sz="6"/>
              <w:bottom w:val="single" w:sz="6"/>
              <w:right w:val="single" w:sz="6"/>
            </w:tcBorders>
            <w:tcMar>
              <w:top w:w="15" w:type="dxa"/>
              <w:left w:w="15" w:type="dxa"/>
              <w:bottom w:w="15" w:type="dxa"/>
              <w:right w:w="15" w:type="dxa"/>
            </w:tcMar>
            <w:vAlign w:val="top"/>
          </w:tcPr>
          <w:p w:rsidR="4E28F8CA" w:rsidP="4E28F8CA" w:rsidRDefault="4E28F8CA" w14:paraId="62821452" w14:textId="689C543E">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0.336</w:t>
            </w:r>
          </w:p>
        </w:tc>
        <w:tc>
          <w:tcPr>
            <w:tcW w:w="132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53DE91AB" w14:textId="7BF1251C">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19</w:t>
            </w:r>
          </w:p>
        </w:tc>
      </w:tr>
      <w:tr w:rsidR="4E28F8CA" w:rsidTr="4E28F8CA" w14:paraId="54873252">
        <w:trPr>
          <w:trHeight w:val="285"/>
        </w:trPr>
        <w:tc>
          <w:tcPr>
            <w:tcW w:w="585"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7CDDBD9F" w14:textId="0E9271E1">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8</w:t>
            </w:r>
          </w:p>
        </w:tc>
        <w:tc>
          <w:tcPr>
            <w:tcW w:w="1275"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70ACA3B9" w14:textId="792823D2">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Lakes</w:t>
            </w:r>
          </w:p>
        </w:tc>
        <w:tc>
          <w:tcPr>
            <w:tcW w:w="63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11984113" w14:textId="42C8468D">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0.215</w:t>
            </w:r>
          </w:p>
        </w:tc>
        <w:tc>
          <w:tcPr>
            <w:tcW w:w="114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38FF1EC0" w14:textId="1341D0BB">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0.278</w:t>
            </w:r>
          </w:p>
        </w:tc>
        <w:tc>
          <w:tcPr>
            <w:tcW w:w="99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4B90687E" w14:textId="2B130F25">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0.049</w:t>
            </w:r>
          </w:p>
        </w:tc>
        <w:tc>
          <w:tcPr>
            <w:tcW w:w="105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5FD27FD1" w14:textId="188F0396">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0.410</w:t>
            </w:r>
          </w:p>
        </w:tc>
        <w:tc>
          <w:tcPr>
            <w:tcW w:w="132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053BC402" w14:textId="5B1F75C0">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0.371</w:t>
            </w:r>
          </w:p>
        </w:tc>
        <w:tc>
          <w:tcPr>
            <w:tcW w:w="870" w:type="dxa"/>
            <w:tcBorders>
              <w:top w:val="single" w:sz="6"/>
              <w:left w:val="single" w:sz="6"/>
              <w:bottom w:val="single" w:sz="6"/>
              <w:right w:val="single" w:sz="6"/>
            </w:tcBorders>
            <w:tcMar>
              <w:top w:w="15" w:type="dxa"/>
              <w:left w:w="15" w:type="dxa"/>
              <w:bottom w:w="15" w:type="dxa"/>
              <w:right w:w="15" w:type="dxa"/>
            </w:tcMar>
            <w:vAlign w:val="top"/>
          </w:tcPr>
          <w:p w:rsidR="4E28F8CA" w:rsidP="4E28F8CA" w:rsidRDefault="4E28F8CA" w14:paraId="7403586B" w14:textId="1427DDC0">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0.220</w:t>
            </w:r>
          </w:p>
        </w:tc>
        <w:tc>
          <w:tcPr>
            <w:tcW w:w="132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7C95B4E6" w14:textId="0FEBE55C">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11</w:t>
            </w:r>
          </w:p>
        </w:tc>
      </w:tr>
      <w:tr w:rsidR="4E28F8CA" w:rsidTr="4E28F8CA" w14:paraId="3E89A29A">
        <w:trPr>
          <w:trHeight w:val="285"/>
        </w:trPr>
        <w:tc>
          <w:tcPr>
            <w:tcW w:w="585"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186571B0" w14:textId="2F894A3F">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7</w:t>
            </w:r>
          </w:p>
        </w:tc>
        <w:tc>
          <w:tcPr>
            <w:tcW w:w="1275"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5D315F01" w14:textId="7BC9E858">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Upper Nile</w:t>
            </w:r>
          </w:p>
        </w:tc>
        <w:tc>
          <w:tcPr>
            <w:tcW w:w="63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7DE586DC" w14:textId="32D0FE8F">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0.245</w:t>
            </w:r>
          </w:p>
        </w:tc>
        <w:tc>
          <w:tcPr>
            <w:tcW w:w="114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2F0F6B64" w14:textId="1BD91A92">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0.436</w:t>
            </w:r>
          </w:p>
        </w:tc>
        <w:tc>
          <w:tcPr>
            <w:tcW w:w="99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359829D2" w14:textId="4F6A3D3C">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0.394</w:t>
            </w:r>
          </w:p>
        </w:tc>
        <w:tc>
          <w:tcPr>
            <w:tcW w:w="105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77E3920C" w14:textId="3C0A8F08">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0.103</w:t>
            </w:r>
          </w:p>
        </w:tc>
        <w:tc>
          <w:tcPr>
            <w:tcW w:w="132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180117F0" w14:textId="6C7944C4">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0.091</w:t>
            </w:r>
          </w:p>
        </w:tc>
        <w:tc>
          <w:tcPr>
            <w:tcW w:w="870" w:type="dxa"/>
            <w:tcBorders>
              <w:top w:val="single" w:sz="6"/>
              <w:left w:val="single" w:sz="6"/>
              <w:bottom w:val="single" w:sz="6"/>
              <w:right w:val="single" w:sz="6"/>
            </w:tcBorders>
            <w:tcMar>
              <w:top w:w="15" w:type="dxa"/>
              <w:left w:w="15" w:type="dxa"/>
              <w:bottom w:w="15" w:type="dxa"/>
              <w:right w:w="15" w:type="dxa"/>
            </w:tcMar>
            <w:vAlign w:val="top"/>
          </w:tcPr>
          <w:p w:rsidR="4E28F8CA" w:rsidP="4E28F8CA" w:rsidRDefault="4E28F8CA" w14:paraId="550F6831" w14:textId="10C885F2">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0.554</w:t>
            </w:r>
          </w:p>
        </w:tc>
        <w:tc>
          <w:tcPr>
            <w:tcW w:w="132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5C603D39" w14:textId="2EB4E1D3">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12</w:t>
            </w:r>
          </w:p>
        </w:tc>
      </w:tr>
      <w:tr w:rsidR="4E28F8CA" w:rsidTr="4E28F8CA" w14:paraId="391B9B5E">
        <w:trPr>
          <w:trHeight w:val="285"/>
        </w:trPr>
        <w:tc>
          <w:tcPr>
            <w:tcW w:w="585"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0E9DABE9" w14:textId="298B1867">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6</w:t>
            </w:r>
          </w:p>
        </w:tc>
        <w:tc>
          <w:tcPr>
            <w:tcW w:w="1275"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7207A40D" w14:textId="31222A70">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Northern Bahr el Ghazal</w:t>
            </w:r>
          </w:p>
        </w:tc>
        <w:tc>
          <w:tcPr>
            <w:tcW w:w="63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61C38E54" w14:textId="75918137">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0.334</w:t>
            </w:r>
          </w:p>
        </w:tc>
        <w:tc>
          <w:tcPr>
            <w:tcW w:w="114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0F0300AA" w14:textId="6696F1DC">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0.394</w:t>
            </w:r>
          </w:p>
        </w:tc>
        <w:tc>
          <w:tcPr>
            <w:tcW w:w="99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2C220184" w14:textId="02752690">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0.499</w:t>
            </w:r>
          </w:p>
        </w:tc>
        <w:tc>
          <w:tcPr>
            <w:tcW w:w="105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0E31084E" w14:textId="063EC858">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0.256</w:t>
            </w:r>
          </w:p>
        </w:tc>
        <w:tc>
          <w:tcPr>
            <w:tcW w:w="132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55973B37" w14:textId="7C4E15CA">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0.461</w:t>
            </w:r>
          </w:p>
        </w:tc>
        <w:tc>
          <w:tcPr>
            <w:tcW w:w="870" w:type="dxa"/>
            <w:tcBorders>
              <w:top w:val="single" w:sz="6"/>
              <w:left w:val="single" w:sz="6"/>
              <w:bottom w:val="single" w:sz="6"/>
              <w:right w:val="single" w:sz="6"/>
            </w:tcBorders>
            <w:tcMar>
              <w:top w:w="15" w:type="dxa"/>
              <w:left w:w="15" w:type="dxa"/>
              <w:bottom w:w="15" w:type="dxa"/>
              <w:right w:w="15" w:type="dxa"/>
            </w:tcMar>
            <w:vAlign w:val="top"/>
          </w:tcPr>
          <w:p w:rsidR="4E28F8CA" w:rsidP="4E28F8CA" w:rsidRDefault="4E28F8CA" w14:paraId="06B6A03B" w14:textId="4BB86F8F">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0.179</w:t>
            </w:r>
          </w:p>
        </w:tc>
        <w:tc>
          <w:tcPr>
            <w:tcW w:w="1320" w:type="dxa"/>
            <w:tcBorders>
              <w:top w:val="single" w:sz="6"/>
              <w:left w:val="single" w:sz="6"/>
              <w:bottom w:val="single" w:sz="6"/>
              <w:right w:val="single" w:sz="6"/>
            </w:tcBorders>
            <w:tcMar>
              <w:top w:w="30" w:type="dxa"/>
              <w:left w:w="30" w:type="dxa"/>
              <w:bottom w:w="30" w:type="dxa"/>
              <w:right w:w="30" w:type="dxa"/>
            </w:tcMar>
            <w:vAlign w:val="center"/>
          </w:tcPr>
          <w:p w:rsidR="4E28F8CA" w:rsidP="4E28F8CA" w:rsidRDefault="4E28F8CA" w14:paraId="7A7A4A9D" w14:textId="18A6E7A1">
            <w:pPr>
              <w:bidi w:val="0"/>
              <w:rPr>
                <w:rFonts w:ascii="Aptos" w:hAnsi="Aptos" w:eastAsia="Aptos" w:cs="Aptos"/>
                <w:b w:val="0"/>
                <w:bCs w:val="0"/>
                <w:i w:val="0"/>
                <w:iCs w:val="0"/>
                <w:color w:val="000000" w:themeColor="text1" w:themeTint="FF" w:themeShade="FF"/>
                <w:sz w:val="24"/>
                <w:szCs w:val="24"/>
              </w:rPr>
            </w:pPr>
            <w:r w:rsidRPr="4E28F8CA" w:rsidR="4E28F8CA">
              <w:rPr>
                <w:rFonts w:ascii="Aptos" w:hAnsi="Aptos" w:eastAsia="Aptos" w:cs="Aptos"/>
                <w:b w:val="0"/>
                <w:bCs w:val="0"/>
                <w:i w:val="0"/>
                <w:iCs w:val="0"/>
                <w:caps w:val="0"/>
                <w:smallCaps w:val="0"/>
                <w:color w:val="000000" w:themeColor="text1" w:themeTint="FF" w:themeShade="FF"/>
                <w:sz w:val="24"/>
                <w:szCs w:val="24"/>
                <w:lang w:val="en-US"/>
              </w:rPr>
              <w:t>1</w:t>
            </w:r>
          </w:p>
        </w:tc>
      </w:tr>
    </w:tbl>
    <w:p w:rsidR="5437B72A" w:rsidP="4E28F8CA" w:rsidRDefault="5437B72A" w14:paraId="1847D14D" w14:textId="1E882B36">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5437B72A" w:rsidP="4E28F8CA" w:rsidRDefault="5437B72A" w14:paraId="323B8E27" w14:textId="2AF31C0C">
      <w:pPr>
        <w:spacing w:line="276" w:lineRule="auto"/>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E28F8CA" w:rsidR="28D2174E">
        <w:rPr>
          <w:rFonts w:ascii="Aptos" w:hAnsi="Aptos" w:eastAsia="Aptos" w:cs="Aptos"/>
          <w:b w:val="1"/>
          <w:bCs w:val="1"/>
          <w:i w:val="0"/>
          <w:iCs w:val="0"/>
          <w:caps w:val="0"/>
          <w:smallCaps w:val="0"/>
          <w:noProof w:val="0"/>
          <w:color w:val="000000" w:themeColor="text1" w:themeTint="FF" w:themeShade="FF"/>
          <w:sz w:val="24"/>
          <w:szCs w:val="24"/>
          <w:lang w:val="en-US"/>
        </w:rPr>
        <w:t>Sources of Resilience</w:t>
      </w:r>
    </w:p>
    <w:p w:rsidR="5437B72A" w:rsidP="4E28F8CA" w:rsidRDefault="5437B72A" w14:paraId="467C5352" w14:textId="0D4AFC3B">
      <w:pPr>
        <w:spacing w:line="276" w:lineRule="auto"/>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E28F8CA" w:rsidR="28D2174E">
        <w:rPr>
          <w:rFonts w:ascii="Aptos" w:hAnsi="Aptos" w:eastAsia="Aptos" w:cs="Aptos"/>
          <w:b w:val="1"/>
          <w:bCs w:val="1"/>
          <w:i w:val="0"/>
          <w:iCs w:val="0"/>
          <w:caps w:val="0"/>
          <w:smallCaps w:val="0"/>
          <w:noProof w:val="0"/>
          <w:color w:val="000000" w:themeColor="text1" w:themeTint="FF" w:themeShade="FF"/>
          <w:sz w:val="24"/>
          <w:szCs w:val="24"/>
          <w:lang w:val="en-US"/>
        </w:rPr>
        <w:t>The R-ARCSS peace agreement</w:t>
      </w:r>
      <w:r w:rsidRPr="4E28F8CA" w:rsidR="28D2174E">
        <w:rPr>
          <w:rFonts w:ascii="Aptos" w:hAnsi="Aptos" w:eastAsia="Aptos" w:cs="Aptos"/>
          <w:b w:val="0"/>
          <w:bCs w:val="0"/>
          <w:i w:val="0"/>
          <w:iCs w:val="0"/>
          <w:caps w:val="0"/>
          <w:smallCaps w:val="0"/>
          <w:noProof w:val="0"/>
          <w:color w:val="000000" w:themeColor="text1" w:themeTint="FF" w:themeShade="FF"/>
          <w:sz w:val="24"/>
          <w:szCs w:val="24"/>
          <w:lang w:val="en-US"/>
        </w:rPr>
        <w:t xml:space="preserve"> of 2018 produced a measurable decline in violence and enabled the formation of a unity government in 2020. </w:t>
      </w:r>
    </w:p>
    <w:p w:rsidR="5437B72A" w:rsidP="4E28F8CA" w:rsidRDefault="5437B72A" w14:paraId="5612536C" w14:textId="56C37380">
      <w:pPr>
        <w:spacing w:line="276" w:lineRule="auto"/>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E28F8CA" w:rsidR="28D2174E">
        <w:rPr>
          <w:rFonts w:ascii="Aptos" w:hAnsi="Aptos" w:eastAsia="Aptos" w:cs="Aptos"/>
          <w:b w:val="1"/>
          <w:bCs w:val="1"/>
          <w:i w:val="0"/>
          <w:iCs w:val="0"/>
          <w:caps w:val="0"/>
          <w:smallCaps w:val="0"/>
          <w:noProof w:val="0"/>
          <w:color w:val="000000" w:themeColor="text1" w:themeTint="FF" w:themeShade="FF"/>
          <w:sz w:val="24"/>
          <w:szCs w:val="24"/>
          <w:lang w:val="en-US"/>
        </w:rPr>
        <w:t>Traditional inter-communal mediation systems</w:t>
      </w:r>
      <w:r w:rsidRPr="4E28F8CA" w:rsidR="28D2174E">
        <w:rPr>
          <w:rFonts w:ascii="Aptos" w:hAnsi="Aptos" w:eastAsia="Aptos" w:cs="Aptos"/>
          <w:b w:val="0"/>
          <w:bCs w:val="0"/>
          <w:i w:val="0"/>
          <w:iCs w:val="0"/>
          <w:caps w:val="0"/>
          <w:smallCaps w:val="0"/>
          <w:noProof w:val="0"/>
          <w:color w:val="000000" w:themeColor="text1" w:themeTint="FF" w:themeShade="FF"/>
          <w:sz w:val="24"/>
          <w:szCs w:val="24"/>
          <w:lang w:val="en-US"/>
        </w:rPr>
        <w:t xml:space="preserve"> have historically limited escalation in some areas such as Lakes State but have been progressively undermined by elite capture of local administration, weapons proliferation, and the erosion of justice mechanisms.</w:t>
      </w:r>
    </w:p>
    <w:p w:rsidR="5437B72A" w:rsidP="4E28F8CA" w:rsidRDefault="5437B72A" w14:paraId="24D7351E" w14:textId="38135BA9">
      <w:pPr>
        <w:spacing w:before="240" w:after="240"/>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4E28F8CA" w:rsidR="28D2174E">
        <w:rPr>
          <w:rFonts w:ascii="Aptos" w:hAnsi="Aptos" w:eastAsia="Aptos" w:cs="Aptos"/>
          <w:b w:val="1"/>
          <w:bCs w:val="1"/>
          <w:i w:val="0"/>
          <w:iCs w:val="0"/>
          <w:caps w:val="0"/>
          <w:smallCaps w:val="0"/>
          <w:noProof w:val="0"/>
          <w:color w:val="000000" w:themeColor="text1" w:themeTint="FF" w:themeShade="FF"/>
          <w:sz w:val="24"/>
          <w:szCs w:val="24"/>
          <w:lang w:val="en-US"/>
        </w:rPr>
        <w:t xml:space="preserve">Civil society and faith-based organizations </w:t>
      </w:r>
      <w:r w:rsidRPr="4E28F8CA" w:rsidR="28D2174E">
        <w:rPr>
          <w:rFonts w:ascii="Aptos" w:hAnsi="Aptos" w:eastAsia="Aptos" w:cs="Aptos"/>
          <w:b w:val="0"/>
          <w:bCs w:val="0"/>
          <w:i w:val="0"/>
          <w:iCs w:val="0"/>
          <w:caps w:val="0"/>
          <w:smallCaps w:val="0"/>
          <w:noProof w:val="0"/>
          <w:color w:val="000000" w:themeColor="text1" w:themeTint="FF" w:themeShade="FF"/>
          <w:sz w:val="24"/>
          <w:szCs w:val="24"/>
          <w:lang w:val="en-US"/>
        </w:rPr>
        <w:t>remain active despite shrinking civic space, with community peacebuilding groups across multiple states continuing to facilitate local dialogue and mitigate conflict as demonstrated in Central Equatoria as recently as 2024.</w:t>
      </w:r>
    </w:p>
    <w:p w:rsidR="5437B72A" w:rsidP="4E28F8CA" w:rsidRDefault="5437B72A" w14:paraId="0CBE4007" w14:textId="025CAB45">
      <w:pPr>
        <w:spacing w:after="0"/>
        <w:jc w:val="both"/>
        <w:rPr>
          <w:rFonts w:ascii="Aptos" w:hAnsi="Aptos" w:eastAsia="Aptos" w:cs="Aptos"/>
          <w:b w:val="0"/>
          <w:bCs w:val="0"/>
          <w:i w:val="0"/>
          <w:iCs w:val="0"/>
          <w:caps w:val="0"/>
          <w:smallCaps w:val="0"/>
          <w:noProof w:val="0"/>
          <w:color w:val="000000" w:themeColor="text1" w:themeTint="FF" w:themeShade="FF"/>
          <w:sz w:val="24"/>
          <w:szCs w:val="24"/>
          <w:lang w:val="en-US"/>
        </w:rPr>
      </w:pPr>
    </w:p>
    <w:p w:rsidR="5437B72A" w:rsidP="5437B72A" w:rsidRDefault="5437B72A" w14:paraId="7575B341" w14:textId="49FE0A5E">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460b3e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b85995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ec8b42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50458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FF47B8"/>
    <w:rsid w:val="04FF47B8"/>
    <w:rsid w:val="08526FF7"/>
    <w:rsid w:val="1E0B718A"/>
    <w:rsid w:val="1E0B718A"/>
    <w:rsid w:val="28D2174E"/>
    <w:rsid w:val="4E28F8CA"/>
    <w:rsid w:val="5437B72A"/>
    <w:rsid w:val="5756B46E"/>
    <w:rsid w:val="5DDD6210"/>
    <w:rsid w:val="678BA9DA"/>
    <w:rsid w:val="7134C315"/>
    <w:rsid w:val="730CD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DA4BB"/>
  <w15:chartTrackingRefBased/>
  <w15:docId w15:val="{56DE2234-B47C-44CF-94C4-53BCCB00B6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fca09c2dd2f478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142B76D3943E45BF64D245CF3114CD" ma:contentTypeVersion="15" ma:contentTypeDescription="Create a new document." ma:contentTypeScope="" ma:versionID="d5ba5936a75c8d447e4e406132183400">
  <xsd:schema xmlns:xsd="http://www.w3.org/2001/XMLSchema" xmlns:xs="http://www.w3.org/2001/XMLSchema" xmlns:p="http://schemas.microsoft.com/office/2006/metadata/properties" xmlns:ns2="6b197b6a-cffc-4ca7-9de0-77d82e42a5a9" xmlns:ns3="fcf89adc-eefc-4033-818a-934b0690d419" targetNamespace="http://schemas.microsoft.com/office/2006/metadata/properties" ma:root="true" ma:fieldsID="15bef01bedf2aefd4e64008507d53695" ns2:_="" ns3:_="">
    <xsd:import namespace="6b197b6a-cffc-4ca7-9de0-77d82e42a5a9"/>
    <xsd:import namespace="fcf89adc-eefc-4033-818a-934b0690d41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DateTake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197b6a-cffc-4ca7-9de0-77d82e42a5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cf89adc-eefc-4033-818a-934b0690d41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1a0748d2-dd91-460d-ad01-dabbfb816a42}" ma:internalName="TaxCatchAll" ma:showField="CatchAllData" ma:web="fcf89adc-eefc-4033-818a-934b0690d419">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cf89adc-eefc-4033-818a-934b0690d419" xsi:nil="true"/>
    <lcf76f155ced4ddcb4097134ff3c332f xmlns="6b197b6a-cffc-4ca7-9de0-77d82e42a5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F7DD717-01F4-497E-B81D-802BB4774EC5}"/>
</file>

<file path=customXml/itemProps2.xml><?xml version="1.0" encoding="utf-8"?>
<ds:datastoreItem xmlns:ds="http://schemas.openxmlformats.org/officeDocument/2006/customXml" ds:itemID="{670E6519-7E53-4CAE-BD6C-69B656FD1F3C}"/>
</file>

<file path=customXml/itemProps3.xml><?xml version="1.0" encoding="utf-8"?>
<ds:datastoreItem xmlns:ds="http://schemas.openxmlformats.org/officeDocument/2006/customXml" ds:itemID="{38096784-F600-4F5F-8CCF-3EA727D065C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Ela Dogan</dc:creator>
  <keywords/>
  <dc:description/>
  <lastModifiedBy>Ela Dogan</lastModifiedBy>
  <dcterms:created xsi:type="dcterms:W3CDTF">2026-05-22T07:29:59.0000000Z</dcterms:created>
  <dcterms:modified xsi:type="dcterms:W3CDTF">2026-05-22T09:03:20.8627277Z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0x010100E6142B76D3943E45BF64D245CF3114CD</vt:lpwstr>
  </property>
  <property fmtid="{D5CDD505-2E9C-101B-9397-08002B2CF9AE}" pid="3" name="MediaServiceImageTags">
    <vt:lpwstr/>
  </property>
</Properties>
</file>