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68A84" w14:textId="77777777" w:rsidR="0092367A" w:rsidRPr="0092367A" w:rsidRDefault="0092367A" w:rsidP="0092367A">
      <w:pPr>
        <w:rPr>
          <w:lang w:val="en-US"/>
        </w:rPr>
      </w:pPr>
      <w:r w:rsidRPr="0092367A">
        <w:rPr>
          <w:b/>
          <w:bCs/>
          <w:lang w:val="en-US"/>
        </w:rPr>
        <w:t>SEPI Analysis Tool — User Guide</w:t>
      </w:r>
      <w:r w:rsidRPr="0092367A">
        <w:rPr>
          <w:lang w:val="en-US"/>
        </w:rPr>
        <w:t> Socioeconomic Peace Index · Somalia · South Sudan · Kenya · Admin-1 level </w:t>
      </w:r>
    </w:p>
    <w:p w14:paraId="1EBCB928" w14:textId="77777777" w:rsidR="0092367A" w:rsidRPr="0092367A" w:rsidRDefault="0092367A" w:rsidP="0092367A">
      <w:pPr>
        <w:rPr>
          <w:lang w:val="en-US"/>
        </w:rPr>
      </w:pPr>
      <w:r w:rsidRPr="0092367A">
        <w:rPr>
          <w:lang w:val="en-US"/>
        </w:rPr>
        <w:t> </w:t>
      </w:r>
    </w:p>
    <w:p w14:paraId="4917E6C8" w14:textId="77777777" w:rsidR="0092367A" w:rsidRPr="0092367A" w:rsidRDefault="0092367A" w:rsidP="0092367A">
      <w:pPr>
        <w:rPr>
          <w:lang w:val="en-US"/>
        </w:rPr>
      </w:pPr>
      <w:r w:rsidRPr="0092367A">
        <w:rPr>
          <w:b/>
          <w:bCs/>
          <w:lang w:val="en-US"/>
        </w:rPr>
        <w:t>WHAT THE TOOL SHOWS</w:t>
      </w:r>
      <w:r w:rsidRPr="0092367A">
        <w:rPr>
          <w:lang w:val="en-US"/>
        </w:rPr>
        <w:t> </w:t>
      </w:r>
    </w:p>
    <w:p w14:paraId="34FD69CA" w14:textId="77777777" w:rsidR="0092367A" w:rsidRPr="0092367A" w:rsidRDefault="0092367A" w:rsidP="0092367A">
      <w:pPr>
        <w:rPr>
          <w:lang w:val="en-US"/>
        </w:rPr>
      </w:pPr>
      <w:r w:rsidRPr="0092367A">
        <w:rPr>
          <w:lang w:val="en-US"/>
        </w:rPr>
        <w:t>The SEPI Analysis Tool maps the Socioeconomic Peace Index and its component pillars at the sub-national (Admin-1) level across three countries. SEPI measures structural socioeconomic conditions associated with conflict vulnerability, covering education, health, food security, poverty, and climate resilience. Scores run from 0 to 1, where higher values reflect stronger conditions and lower vulnerability. </w:t>
      </w:r>
    </w:p>
    <w:p w14:paraId="78D029C5" w14:textId="77777777" w:rsidR="0092367A" w:rsidRPr="0092367A" w:rsidRDefault="0092367A" w:rsidP="0092367A">
      <w:pPr>
        <w:rPr>
          <w:lang w:val="en-US"/>
        </w:rPr>
      </w:pPr>
      <w:r w:rsidRPr="0092367A">
        <w:rPr>
          <w:lang w:val="en-US"/>
        </w:rPr>
        <w:t>Scores are relative within each country and are not comparable across countries. A high score means a region is performing better than others in the same country, not that it meets any absolute standard. </w:t>
      </w:r>
    </w:p>
    <w:p w14:paraId="64DF5E07" w14:textId="77777777" w:rsidR="0092367A" w:rsidRPr="0092367A" w:rsidRDefault="0092367A" w:rsidP="0092367A">
      <w:pPr>
        <w:rPr>
          <w:lang w:val="en-US"/>
        </w:rPr>
      </w:pPr>
      <w:r w:rsidRPr="0092367A">
        <w:rPr>
          <w:lang w:val="en-US"/>
        </w:rPr>
        <w:t> </w:t>
      </w:r>
    </w:p>
    <w:p w14:paraId="68272F4C" w14:textId="77777777" w:rsidR="0092367A" w:rsidRPr="0092367A" w:rsidRDefault="0092367A" w:rsidP="0092367A">
      <w:pPr>
        <w:rPr>
          <w:lang w:val="en-US"/>
        </w:rPr>
      </w:pPr>
      <w:r w:rsidRPr="0092367A">
        <w:rPr>
          <w:b/>
          <w:bCs/>
          <w:lang w:val="en-US"/>
        </w:rPr>
        <w:t>HOW TO USE</w:t>
      </w:r>
      <w:r w:rsidRPr="0092367A">
        <w:rPr>
          <w:lang w:val="en-US"/>
        </w:rPr>
        <w:t> </w:t>
      </w:r>
    </w:p>
    <w:p w14:paraId="424E6102" w14:textId="77777777" w:rsidR="0092367A" w:rsidRPr="0092367A" w:rsidRDefault="0092367A" w:rsidP="0092367A">
      <w:pPr>
        <w:numPr>
          <w:ilvl w:val="0"/>
          <w:numId w:val="1"/>
        </w:numPr>
        <w:rPr>
          <w:lang w:val="en-US"/>
        </w:rPr>
      </w:pPr>
      <w:r w:rsidRPr="0092367A">
        <w:rPr>
          <w:b/>
          <w:bCs/>
          <w:lang w:val="en-US"/>
        </w:rPr>
        <w:t>Select a country</w:t>
      </w:r>
      <w:r w:rsidRPr="0092367A">
        <w:rPr>
          <w:lang w:val="en-US"/>
        </w:rPr>
        <w:t> — Use the radio buttons at the top of the left panel to choose Somalia, South Sudan, or Kenya. The map zooms to that country's Admin-1 regions. </w:t>
      </w:r>
    </w:p>
    <w:p w14:paraId="53EC60DE" w14:textId="77777777" w:rsidR="0092367A" w:rsidRPr="0092367A" w:rsidRDefault="0092367A" w:rsidP="0092367A">
      <w:pPr>
        <w:numPr>
          <w:ilvl w:val="0"/>
          <w:numId w:val="2"/>
        </w:numPr>
        <w:rPr>
          <w:lang w:val="en-US"/>
        </w:rPr>
      </w:pPr>
      <w:r w:rsidRPr="0092367A">
        <w:rPr>
          <w:b/>
          <w:bCs/>
          <w:lang w:val="en-US"/>
        </w:rPr>
        <w:t>Choose a layer</w:t>
      </w:r>
      <w:r w:rsidRPr="0092367A">
        <w:rPr>
          <w:lang w:val="en-US"/>
        </w:rPr>
        <w:t xml:space="preserve"> — Select Overall Peace Index from the left panel for the composite </w:t>
      </w:r>
      <w:proofErr w:type="gramStart"/>
      <w:r w:rsidRPr="0092367A">
        <w:rPr>
          <w:lang w:val="en-US"/>
        </w:rPr>
        <w:t>score, or</w:t>
      </w:r>
      <w:proofErr w:type="gramEnd"/>
      <w:r w:rsidRPr="0092367A">
        <w:rPr>
          <w:lang w:val="en-US"/>
        </w:rPr>
        <w:t xml:space="preserve"> pick one of the five pillar indices to examine a single dimension. </w:t>
      </w:r>
    </w:p>
    <w:p w14:paraId="2E4D0801" w14:textId="77777777" w:rsidR="0092367A" w:rsidRPr="0092367A" w:rsidRDefault="0092367A" w:rsidP="0092367A">
      <w:pPr>
        <w:numPr>
          <w:ilvl w:val="0"/>
          <w:numId w:val="3"/>
        </w:numPr>
        <w:rPr>
          <w:lang w:val="en-US"/>
        </w:rPr>
      </w:pPr>
      <w:r w:rsidRPr="0092367A">
        <w:rPr>
          <w:b/>
          <w:bCs/>
          <w:lang w:val="en-US"/>
        </w:rPr>
        <w:t>Read the map</w:t>
      </w:r>
      <w:r w:rsidRPr="0092367A">
        <w:rPr>
          <w:lang w:val="en-US"/>
        </w:rPr>
        <w:t xml:space="preserve"> — Use the legend in the bottom-right to interpret region </w:t>
      </w:r>
      <w:proofErr w:type="spellStart"/>
      <w:r w:rsidRPr="0092367A">
        <w:rPr>
          <w:lang w:val="en-US"/>
        </w:rPr>
        <w:t>colours</w:t>
      </w:r>
      <w:proofErr w:type="spellEnd"/>
      <w:r w:rsidRPr="0092367A">
        <w:rPr>
          <w:lang w:val="en-US"/>
        </w:rPr>
        <w:t xml:space="preserve"> by score range. Red = deprivation · Green = resilience </w:t>
      </w:r>
    </w:p>
    <w:p w14:paraId="5C38E2A8" w14:textId="77777777" w:rsidR="0092367A" w:rsidRPr="0092367A" w:rsidRDefault="0092367A" w:rsidP="0092367A">
      <w:pPr>
        <w:numPr>
          <w:ilvl w:val="0"/>
          <w:numId w:val="4"/>
        </w:numPr>
        <w:rPr>
          <w:lang w:val="en-US"/>
        </w:rPr>
      </w:pPr>
      <w:r w:rsidRPr="0092367A">
        <w:rPr>
          <w:b/>
          <w:bCs/>
          <w:lang w:val="en-US"/>
        </w:rPr>
        <w:t>Click a region</w:t>
      </w:r>
      <w:r w:rsidRPr="0092367A">
        <w:rPr>
          <w:lang w:val="en-US"/>
        </w:rPr>
        <w:t> — Click any Admin-1 region on the map to open its detail panel, showing the SEPI score, all five pillar scores, and a brief district overview. With a pillar active, the panel shows that pillar's score and description. </w:t>
      </w:r>
    </w:p>
    <w:p w14:paraId="0D5C2E23" w14:textId="77777777" w:rsidR="0092367A" w:rsidRPr="0092367A" w:rsidRDefault="0092367A" w:rsidP="0092367A">
      <w:pPr>
        <w:numPr>
          <w:ilvl w:val="0"/>
          <w:numId w:val="5"/>
        </w:numPr>
        <w:rPr>
          <w:lang w:val="en-US"/>
        </w:rPr>
      </w:pPr>
      <w:r w:rsidRPr="0092367A">
        <w:rPr>
          <w:b/>
          <w:bCs/>
          <w:lang w:val="en-US"/>
        </w:rPr>
        <w:t>Drill into sub-indicators</w:t>
      </w:r>
      <w:r w:rsidRPr="0092367A">
        <w:rPr>
          <w:lang w:val="en-US"/>
        </w:rPr>
        <w:t> — Select any indicator listed below a pillar in the left panel to map it directly. Click a region on the map to see that indicator's value for the selected area. </w:t>
      </w:r>
    </w:p>
    <w:p w14:paraId="2462A5CB" w14:textId="77777777" w:rsidR="0092367A" w:rsidRPr="0092367A" w:rsidRDefault="0092367A" w:rsidP="0092367A">
      <w:pPr>
        <w:rPr>
          <w:lang w:val="en-US"/>
        </w:rPr>
      </w:pPr>
      <w:r w:rsidRPr="0092367A">
        <w:rPr>
          <w:lang w:val="en-US"/>
        </w:rPr>
        <w:t> </w:t>
      </w:r>
    </w:p>
    <w:p w14:paraId="777F359C" w14:textId="77777777" w:rsidR="0092367A" w:rsidRPr="0092367A" w:rsidRDefault="0092367A" w:rsidP="0092367A">
      <w:pPr>
        <w:rPr>
          <w:lang w:val="en-US"/>
        </w:rPr>
      </w:pPr>
      <w:r w:rsidRPr="0092367A">
        <w:rPr>
          <w:b/>
          <w:bCs/>
          <w:lang w:val="en-US"/>
        </w:rPr>
        <w:t>THE FIVE PILLARS</w:t>
      </w:r>
      <w:r w:rsidRPr="0092367A">
        <w:rPr>
          <w:lang w:val="en-US"/>
        </w:rPr>
        <w:t> </w:t>
      </w:r>
    </w:p>
    <w:p w14:paraId="66388BD8" w14:textId="77777777" w:rsidR="0092367A" w:rsidRPr="0092367A" w:rsidRDefault="0092367A" w:rsidP="0092367A">
      <w:pPr>
        <w:numPr>
          <w:ilvl w:val="0"/>
          <w:numId w:val="6"/>
        </w:numPr>
        <w:rPr>
          <w:lang w:val="en-US"/>
        </w:rPr>
      </w:pPr>
      <w:r w:rsidRPr="0092367A">
        <w:rPr>
          <w:b/>
          <w:bCs/>
          <w:lang w:val="en-US"/>
        </w:rPr>
        <w:t>Education</w:t>
      </w:r>
      <w:r w:rsidRPr="0092367A">
        <w:rPr>
          <w:lang w:val="en-US"/>
        </w:rPr>
        <w:t> — Attendance, literacy, school access </w:t>
      </w:r>
    </w:p>
    <w:p w14:paraId="2259C625" w14:textId="77777777" w:rsidR="0092367A" w:rsidRPr="0092367A" w:rsidRDefault="0092367A" w:rsidP="0092367A">
      <w:pPr>
        <w:numPr>
          <w:ilvl w:val="0"/>
          <w:numId w:val="7"/>
        </w:numPr>
        <w:rPr>
          <w:lang w:val="en-US"/>
        </w:rPr>
      </w:pPr>
      <w:r w:rsidRPr="0092367A">
        <w:rPr>
          <w:b/>
          <w:bCs/>
          <w:lang w:val="en-US"/>
        </w:rPr>
        <w:t>Food security</w:t>
      </w:r>
      <w:r w:rsidRPr="0092367A">
        <w:rPr>
          <w:lang w:val="en-US"/>
        </w:rPr>
        <w:t> — IPC Phase 3+ population fraction </w:t>
      </w:r>
    </w:p>
    <w:p w14:paraId="691349C3" w14:textId="77777777" w:rsidR="0092367A" w:rsidRPr="0092367A" w:rsidRDefault="0092367A" w:rsidP="0092367A">
      <w:pPr>
        <w:numPr>
          <w:ilvl w:val="0"/>
          <w:numId w:val="8"/>
        </w:numPr>
        <w:rPr>
          <w:lang w:val="en-US"/>
        </w:rPr>
      </w:pPr>
      <w:r w:rsidRPr="0092367A">
        <w:rPr>
          <w:b/>
          <w:bCs/>
          <w:lang w:val="en-US"/>
        </w:rPr>
        <w:t>Poverty reduction</w:t>
      </w:r>
      <w:r w:rsidRPr="0092367A">
        <w:rPr>
          <w:lang w:val="en-US"/>
        </w:rPr>
        <w:t> — Headcount, expenditure, income </w:t>
      </w:r>
    </w:p>
    <w:p w14:paraId="2401B341" w14:textId="77777777" w:rsidR="0092367A" w:rsidRPr="0092367A" w:rsidRDefault="0092367A" w:rsidP="0092367A">
      <w:pPr>
        <w:numPr>
          <w:ilvl w:val="0"/>
          <w:numId w:val="9"/>
        </w:numPr>
        <w:rPr>
          <w:lang w:val="en-US"/>
        </w:rPr>
      </w:pPr>
      <w:r w:rsidRPr="0092367A">
        <w:rPr>
          <w:b/>
          <w:bCs/>
          <w:lang w:val="en-US"/>
        </w:rPr>
        <w:lastRenderedPageBreak/>
        <w:t>Health access</w:t>
      </w:r>
      <w:r w:rsidRPr="0092367A">
        <w:rPr>
          <w:lang w:val="en-US"/>
        </w:rPr>
        <w:t> — Facilities per population, access share </w:t>
      </w:r>
    </w:p>
    <w:p w14:paraId="7046904A" w14:textId="77777777" w:rsidR="0092367A" w:rsidRPr="0092367A" w:rsidRDefault="0092367A" w:rsidP="0092367A">
      <w:pPr>
        <w:numPr>
          <w:ilvl w:val="0"/>
          <w:numId w:val="10"/>
        </w:numPr>
        <w:rPr>
          <w:lang w:val="fr-CI"/>
        </w:rPr>
      </w:pPr>
      <w:proofErr w:type="spellStart"/>
      <w:r w:rsidRPr="0092367A">
        <w:rPr>
          <w:b/>
          <w:bCs/>
          <w:lang w:val="fr-CI"/>
        </w:rPr>
        <w:t>Climate</w:t>
      </w:r>
      <w:proofErr w:type="spellEnd"/>
      <w:r w:rsidRPr="0092367A">
        <w:rPr>
          <w:b/>
          <w:bCs/>
          <w:lang w:val="fr-CI"/>
        </w:rPr>
        <w:t xml:space="preserve"> </w:t>
      </w:r>
      <w:proofErr w:type="spellStart"/>
      <w:r w:rsidRPr="0092367A">
        <w:rPr>
          <w:b/>
          <w:bCs/>
          <w:lang w:val="fr-CI"/>
        </w:rPr>
        <w:t>resilience</w:t>
      </w:r>
      <w:proofErr w:type="spellEnd"/>
      <w:r w:rsidRPr="0092367A">
        <w:rPr>
          <w:lang w:val="fr-CI"/>
        </w:rPr>
        <w:t xml:space="preserve"> — NDVI, PDSI, FAPAR, </w:t>
      </w:r>
      <w:proofErr w:type="spellStart"/>
      <w:r w:rsidRPr="0092367A">
        <w:rPr>
          <w:lang w:val="fr-CI"/>
        </w:rPr>
        <w:t>soil</w:t>
      </w:r>
      <w:proofErr w:type="spellEnd"/>
      <w:r w:rsidRPr="0092367A">
        <w:rPr>
          <w:lang w:val="fr-CI"/>
        </w:rPr>
        <w:t xml:space="preserve"> </w:t>
      </w:r>
      <w:proofErr w:type="spellStart"/>
      <w:r w:rsidRPr="0092367A">
        <w:rPr>
          <w:lang w:val="fr-CI"/>
        </w:rPr>
        <w:t>moisture</w:t>
      </w:r>
      <w:proofErr w:type="spellEnd"/>
      <w:r w:rsidRPr="0092367A">
        <w:rPr>
          <w:lang w:val="fr-CI"/>
        </w:rPr>
        <w:t> </w:t>
      </w:r>
    </w:p>
    <w:p w14:paraId="5E1A5241" w14:textId="77777777" w:rsidR="0092367A" w:rsidRPr="0092367A" w:rsidRDefault="0092367A" w:rsidP="0092367A">
      <w:pPr>
        <w:rPr>
          <w:lang w:val="en-US"/>
        </w:rPr>
      </w:pPr>
      <w:r w:rsidRPr="0092367A">
        <w:rPr>
          <w:lang w:val="en-US"/>
        </w:rPr>
        <w:t>The overall score is a geometric mean of all five pillars. A very low score on any one pillar significantly depresses the overall — deprivation in one dimension cannot be offset by strength in another. </w:t>
      </w:r>
    </w:p>
    <w:p w14:paraId="32D26CB1" w14:textId="77777777" w:rsidR="0092367A" w:rsidRPr="0092367A" w:rsidRDefault="0092367A" w:rsidP="0092367A">
      <w:pPr>
        <w:rPr>
          <w:lang w:val="en-US"/>
        </w:rPr>
      </w:pPr>
      <w:r w:rsidRPr="0092367A">
        <w:rPr>
          <w:lang w:val="en-US"/>
        </w:rPr>
        <w:t> </w:t>
      </w:r>
    </w:p>
    <w:p w14:paraId="4DA09D6A" w14:textId="77777777" w:rsidR="0092367A" w:rsidRPr="0092367A" w:rsidRDefault="0092367A" w:rsidP="0092367A">
      <w:pPr>
        <w:rPr>
          <w:lang w:val="en-US"/>
        </w:rPr>
      </w:pPr>
      <w:r w:rsidRPr="0092367A">
        <w:rPr>
          <w:b/>
          <w:bCs/>
          <w:lang w:val="en-US"/>
        </w:rPr>
        <w:t>SCORE RANGES</w:t>
      </w:r>
      <w:r w:rsidRPr="0092367A">
        <w:rPr>
          <w:lang w:val="en-US"/>
        </w:rPr>
        <w:t> </w:t>
      </w:r>
    </w:p>
    <w:p w14:paraId="25C3C08E" w14:textId="77777777" w:rsidR="0092367A" w:rsidRPr="0092367A" w:rsidRDefault="0092367A" w:rsidP="0092367A">
      <w:pPr>
        <w:numPr>
          <w:ilvl w:val="0"/>
          <w:numId w:val="11"/>
        </w:numPr>
        <w:rPr>
          <w:lang w:val="en-US"/>
        </w:rPr>
      </w:pPr>
      <w:r w:rsidRPr="0092367A">
        <w:rPr>
          <w:lang w:val="en-US"/>
        </w:rPr>
        <w:t>0.0 – 0.2 · Very low — severe deprivation </w:t>
      </w:r>
    </w:p>
    <w:p w14:paraId="61BEC147" w14:textId="77777777" w:rsidR="0092367A" w:rsidRPr="0092367A" w:rsidRDefault="0092367A" w:rsidP="0092367A">
      <w:pPr>
        <w:numPr>
          <w:ilvl w:val="0"/>
          <w:numId w:val="12"/>
        </w:numPr>
        <w:rPr>
          <w:lang w:val="en-US"/>
        </w:rPr>
      </w:pPr>
      <w:r w:rsidRPr="0092367A">
        <w:rPr>
          <w:lang w:val="en-US"/>
        </w:rPr>
        <w:t>0.2 – 0.4 · Low — significant gaps </w:t>
      </w:r>
    </w:p>
    <w:p w14:paraId="6E09BBBF" w14:textId="77777777" w:rsidR="0092367A" w:rsidRPr="0092367A" w:rsidRDefault="0092367A" w:rsidP="0092367A">
      <w:pPr>
        <w:numPr>
          <w:ilvl w:val="0"/>
          <w:numId w:val="13"/>
        </w:numPr>
        <w:rPr>
          <w:lang w:val="en-US"/>
        </w:rPr>
      </w:pPr>
      <w:r w:rsidRPr="0092367A">
        <w:rPr>
          <w:lang w:val="en-US"/>
        </w:rPr>
        <w:t>0.4 – 0.6 · Moderate — mixed performance </w:t>
      </w:r>
    </w:p>
    <w:p w14:paraId="0674915D" w14:textId="77777777" w:rsidR="0092367A" w:rsidRPr="0092367A" w:rsidRDefault="0092367A" w:rsidP="0092367A">
      <w:pPr>
        <w:numPr>
          <w:ilvl w:val="0"/>
          <w:numId w:val="14"/>
        </w:numPr>
        <w:rPr>
          <w:lang w:val="en-US"/>
        </w:rPr>
      </w:pPr>
      <w:r w:rsidRPr="0092367A">
        <w:rPr>
          <w:lang w:val="en-US"/>
        </w:rPr>
        <w:t>0.6 – 0.8 · High — relatively strong conditions </w:t>
      </w:r>
    </w:p>
    <w:p w14:paraId="40F963BE" w14:textId="77777777" w:rsidR="0092367A" w:rsidRPr="0092367A" w:rsidRDefault="0092367A" w:rsidP="0092367A">
      <w:pPr>
        <w:numPr>
          <w:ilvl w:val="0"/>
          <w:numId w:val="15"/>
        </w:numPr>
        <w:rPr>
          <w:lang w:val="en-US"/>
        </w:rPr>
      </w:pPr>
      <w:r w:rsidRPr="0092367A">
        <w:rPr>
          <w:lang w:val="en-US"/>
        </w:rPr>
        <w:t>0.8 – 1.0 · Very high — best-performing within country </w:t>
      </w:r>
    </w:p>
    <w:p w14:paraId="3A744A63" w14:textId="77777777" w:rsidR="0092367A" w:rsidRPr="0092367A" w:rsidRDefault="0092367A" w:rsidP="0092367A">
      <w:pPr>
        <w:numPr>
          <w:ilvl w:val="0"/>
          <w:numId w:val="16"/>
        </w:numPr>
        <w:rPr>
          <w:lang w:val="en-US"/>
        </w:rPr>
      </w:pPr>
      <w:r w:rsidRPr="0092367A">
        <w:rPr>
          <w:lang w:val="en-US"/>
        </w:rPr>
        <w:t>No data — region excluded or data unavailable </w:t>
      </w:r>
    </w:p>
    <w:p w14:paraId="1A56940E" w14:textId="77777777" w:rsidR="0092367A" w:rsidRPr="0092367A" w:rsidRDefault="0092367A" w:rsidP="0092367A">
      <w:pPr>
        <w:rPr>
          <w:lang w:val="en-US"/>
        </w:rPr>
      </w:pPr>
      <w:r w:rsidRPr="0092367A">
        <w:rPr>
          <w:lang w:val="en-US"/>
        </w:rPr>
        <w:t>Scores are within-country only and not comparable across countries. </w:t>
      </w:r>
    </w:p>
    <w:p w14:paraId="067A99A2" w14:textId="77777777" w:rsidR="0092367A" w:rsidRPr="0092367A" w:rsidRDefault="0092367A" w:rsidP="0092367A">
      <w:pPr>
        <w:rPr>
          <w:lang w:val="en-US"/>
        </w:rPr>
      </w:pPr>
      <w:r w:rsidRPr="0092367A">
        <w:rPr>
          <w:lang w:val="en-US"/>
        </w:rPr>
        <w:t> </w:t>
      </w:r>
    </w:p>
    <w:p w14:paraId="28648656" w14:textId="77777777" w:rsidR="0092367A" w:rsidRPr="0092367A" w:rsidRDefault="0092367A" w:rsidP="0092367A">
      <w:pPr>
        <w:rPr>
          <w:lang w:val="en-US"/>
        </w:rPr>
      </w:pPr>
      <w:r w:rsidRPr="0092367A">
        <w:rPr>
          <w:b/>
          <w:bCs/>
          <w:lang w:val="en-US"/>
        </w:rPr>
        <w:t>CONFLICT DATA</w:t>
      </w:r>
      <w:r w:rsidRPr="0092367A">
        <w:rPr>
          <w:lang w:val="en-US"/>
        </w:rPr>
        <w:t> </w:t>
      </w:r>
    </w:p>
    <w:p w14:paraId="33826AB5" w14:textId="77777777" w:rsidR="0092367A" w:rsidRPr="0092367A" w:rsidRDefault="0092367A" w:rsidP="0092367A">
      <w:pPr>
        <w:rPr>
          <w:lang w:val="en-US"/>
        </w:rPr>
      </w:pPr>
      <w:r w:rsidRPr="0092367A">
        <w:rPr>
          <w:lang w:val="en-US"/>
        </w:rPr>
        <w:t>Source: ACLED · Annual data 2016–2025 · Display only, not part of SEPI computation </w:t>
      </w:r>
    </w:p>
    <w:p w14:paraId="2D4476F3" w14:textId="77777777" w:rsidR="0092367A" w:rsidRPr="0092367A" w:rsidRDefault="0092367A" w:rsidP="0092367A">
      <w:pPr>
        <w:rPr>
          <w:lang w:val="en-US"/>
        </w:rPr>
      </w:pPr>
      <w:r w:rsidRPr="0092367A">
        <w:rPr>
          <w:b/>
          <w:bCs/>
          <w:lang w:val="en-US"/>
        </w:rPr>
        <w:t>Conflict Fatalities</w:t>
      </w:r>
      <w:r w:rsidRPr="0092367A">
        <w:rPr>
          <w:lang w:val="en-US"/>
        </w:rPr>
        <w:t> — Total fatalities per year · Count, Admin-1 level </w:t>
      </w:r>
    </w:p>
    <w:p w14:paraId="36940FE9" w14:textId="77777777" w:rsidR="0092367A" w:rsidRPr="0092367A" w:rsidRDefault="0092367A" w:rsidP="0092367A">
      <w:pPr>
        <w:rPr>
          <w:lang w:val="en-US"/>
        </w:rPr>
      </w:pPr>
      <w:r w:rsidRPr="0092367A">
        <w:rPr>
          <w:lang w:val="en-US"/>
        </w:rPr>
        <w:t> </w:t>
      </w:r>
      <w:r w:rsidRPr="0092367A">
        <w:rPr>
          <w:b/>
          <w:bCs/>
          <w:lang w:val="en-US"/>
        </w:rPr>
        <w:t>Conflict Events</w:t>
      </w:r>
      <w:r w:rsidRPr="0092367A">
        <w:rPr>
          <w:lang w:val="en-US"/>
        </w:rPr>
        <w:t> — Total incidents per year · Count, Admin-1 level  </w:t>
      </w:r>
    </w:p>
    <w:p w14:paraId="693329FF" w14:textId="77777777" w:rsidR="0092367A" w:rsidRPr="0092367A" w:rsidRDefault="0092367A" w:rsidP="0092367A">
      <w:pPr>
        <w:rPr>
          <w:lang w:val="en-US"/>
        </w:rPr>
      </w:pPr>
      <w:r w:rsidRPr="0092367A">
        <w:rPr>
          <w:b/>
          <w:bCs/>
          <w:lang w:val="en-US"/>
        </w:rPr>
        <w:t>Conflict Fatalities per 100k</w:t>
      </w:r>
      <w:r w:rsidRPr="0092367A">
        <w:rPr>
          <w:lang w:val="en-US"/>
        </w:rPr>
        <w:t> — Fatalities relative to population · Rate, Admin-1 level </w:t>
      </w:r>
      <w:r w:rsidRPr="0092367A">
        <w:rPr>
          <w:b/>
          <w:bCs/>
          <w:lang w:val="en-US"/>
        </w:rPr>
        <w:t>Conflict Events per 100k</w:t>
      </w:r>
      <w:r w:rsidRPr="0092367A">
        <w:rPr>
          <w:lang w:val="en-US"/>
        </w:rPr>
        <w:t> — Incidents relative to population · Rate, Admin-1 level </w:t>
      </w:r>
    </w:p>
    <w:p w14:paraId="6ADEF8FF" w14:textId="77777777" w:rsidR="0092367A" w:rsidRPr="0092367A" w:rsidRDefault="0092367A" w:rsidP="0092367A">
      <w:pPr>
        <w:rPr>
          <w:lang w:val="en-US"/>
        </w:rPr>
      </w:pPr>
      <w:r w:rsidRPr="0092367A">
        <w:rPr>
          <w:b/>
          <w:bCs/>
          <w:lang w:val="en-US"/>
        </w:rPr>
        <w:t>Year selector</w:t>
      </w:r>
      <w:r w:rsidRPr="0092367A">
        <w:rPr>
          <w:lang w:val="en-US"/>
        </w:rPr>
        <w:t> — Use the slider in the left panel to select a single year. The map updates to show data for that year only. </w:t>
      </w:r>
    </w:p>
    <w:p w14:paraId="070334EB" w14:textId="77777777" w:rsidR="0092367A" w:rsidRPr="0092367A" w:rsidRDefault="0092367A" w:rsidP="0092367A">
      <w:pPr>
        <w:rPr>
          <w:lang w:val="en-US"/>
        </w:rPr>
      </w:pPr>
      <w:r w:rsidRPr="0092367A">
        <w:rPr>
          <w:b/>
          <w:bCs/>
          <w:lang w:val="en-US"/>
        </w:rPr>
        <w:t>Map legend</w:t>
      </w:r>
      <w:r w:rsidRPr="0092367A">
        <w:rPr>
          <w:lang w:val="en-US"/>
        </w:rPr>
        <w:t> — Each indicator uses its own scale. Red indicates higher conflict severity; yellow indicates lower. Scales are not shared across indicators. </w:t>
      </w:r>
    </w:p>
    <w:p w14:paraId="2111CC9A" w14:textId="77777777" w:rsidR="0092367A" w:rsidRPr="0092367A" w:rsidRDefault="0092367A" w:rsidP="0092367A">
      <w:pPr>
        <w:rPr>
          <w:lang w:val="en-US"/>
        </w:rPr>
      </w:pPr>
      <w:r w:rsidRPr="0092367A">
        <w:rPr>
          <w:b/>
          <w:bCs/>
          <w:lang w:val="en-US"/>
        </w:rPr>
        <w:t>Clicking a conflict indicator opens:</w:t>
      </w:r>
      <w:r w:rsidRPr="0092367A">
        <w:rPr>
          <w:lang w:val="en-US"/>
        </w:rPr>
        <w:t> </w:t>
      </w:r>
    </w:p>
    <w:p w14:paraId="42E2F062" w14:textId="77777777" w:rsidR="0092367A" w:rsidRPr="0092367A" w:rsidRDefault="0092367A" w:rsidP="0092367A">
      <w:pPr>
        <w:numPr>
          <w:ilvl w:val="0"/>
          <w:numId w:val="17"/>
        </w:numPr>
        <w:rPr>
          <w:lang w:val="en-US"/>
        </w:rPr>
      </w:pPr>
      <w:r w:rsidRPr="0092367A">
        <w:rPr>
          <w:b/>
          <w:bCs/>
          <w:lang w:val="en-US"/>
        </w:rPr>
        <w:t>Indicator overview</w:t>
      </w:r>
      <w:r w:rsidRPr="0092367A">
        <w:rPr>
          <w:lang w:val="en-US"/>
        </w:rPr>
        <w:t> — A description of what the indicator measures and how to interpret its values. </w:t>
      </w:r>
    </w:p>
    <w:p w14:paraId="172CC189" w14:textId="77777777" w:rsidR="0092367A" w:rsidRPr="0092367A" w:rsidRDefault="0092367A" w:rsidP="0092367A">
      <w:pPr>
        <w:numPr>
          <w:ilvl w:val="0"/>
          <w:numId w:val="18"/>
        </w:numPr>
        <w:rPr>
          <w:lang w:val="en-US"/>
        </w:rPr>
      </w:pPr>
      <w:r w:rsidRPr="0092367A">
        <w:rPr>
          <w:b/>
          <w:bCs/>
          <w:lang w:val="en-US"/>
        </w:rPr>
        <w:t>Time series (2016–2025)</w:t>
      </w:r>
      <w:r w:rsidRPr="0092367A">
        <w:rPr>
          <w:lang w:val="en-US"/>
        </w:rPr>
        <w:t> — Annual trend chart showing how the indicator has changed over the full data period for the selected country. </w:t>
      </w:r>
    </w:p>
    <w:p w14:paraId="2B0967C2" w14:textId="77777777" w:rsidR="0092367A" w:rsidRPr="0092367A" w:rsidRDefault="0092367A" w:rsidP="0092367A">
      <w:pPr>
        <w:numPr>
          <w:ilvl w:val="0"/>
          <w:numId w:val="19"/>
        </w:numPr>
        <w:rPr>
          <w:lang w:val="en-US"/>
        </w:rPr>
      </w:pPr>
      <w:r w:rsidRPr="0092367A">
        <w:rPr>
          <w:b/>
          <w:bCs/>
          <w:lang w:val="en-US"/>
        </w:rPr>
        <w:lastRenderedPageBreak/>
        <w:t>Country analysis</w:t>
      </w:r>
      <w:r w:rsidRPr="0092367A">
        <w:rPr>
          <w:lang w:val="en-US"/>
        </w:rPr>
        <w:t> — A brief contextual summary highlighting key patterns and notable regions for the selected country. </w:t>
      </w:r>
    </w:p>
    <w:p w14:paraId="22DE3FCA" w14:textId="77777777" w:rsidR="0092367A" w:rsidRPr="0092367A" w:rsidRDefault="0092367A" w:rsidP="0092367A">
      <w:pPr>
        <w:rPr>
          <w:lang w:val="en-US"/>
        </w:rPr>
      </w:pPr>
      <w:r w:rsidRPr="0092367A">
        <w:rPr>
          <w:lang w:val="en-US"/>
        </w:rPr>
        <w:t>SEPI is a structural baseline, not a real-time early warning tool. Results should be read alongside contextual knowledge and other data sources. </w:t>
      </w:r>
    </w:p>
    <w:p w14:paraId="1D8C735E" w14:textId="77777777" w:rsidR="00A145D5" w:rsidRPr="0092367A" w:rsidRDefault="00A145D5">
      <w:pPr>
        <w:rPr>
          <w:lang w:val="en-US"/>
        </w:rPr>
      </w:pPr>
    </w:p>
    <w:sectPr w:rsidR="00A145D5" w:rsidRPr="0092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roxima Nova Rg">
    <w:altName w:val="Tahoma"/>
    <w:charset w:val="00"/>
    <w:family w:val="auto"/>
    <w:pitch w:val="variable"/>
    <w:sig w:usb0="A00002EF" w:usb1="5000E0FB" w:usb2="00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CF1"/>
    <w:multiLevelType w:val="multilevel"/>
    <w:tmpl w:val="FEB2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E46F6B"/>
    <w:multiLevelType w:val="multilevel"/>
    <w:tmpl w:val="331E80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38707A"/>
    <w:multiLevelType w:val="multilevel"/>
    <w:tmpl w:val="7A4E9E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805410"/>
    <w:multiLevelType w:val="multilevel"/>
    <w:tmpl w:val="8634F6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E43894"/>
    <w:multiLevelType w:val="multilevel"/>
    <w:tmpl w:val="7288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B931C9"/>
    <w:multiLevelType w:val="multilevel"/>
    <w:tmpl w:val="3150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8B3DE5"/>
    <w:multiLevelType w:val="multilevel"/>
    <w:tmpl w:val="7E24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936449"/>
    <w:multiLevelType w:val="multilevel"/>
    <w:tmpl w:val="009A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4017F1"/>
    <w:multiLevelType w:val="multilevel"/>
    <w:tmpl w:val="3DA0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C51225"/>
    <w:multiLevelType w:val="multilevel"/>
    <w:tmpl w:val="88EA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692538"/>
    <w:multiLevelType w:val="multilevel"/>
    <w:tmpl w:val="3D82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20047F"/>
    <w:multiLevelType w:val="multilevel"/>
    <w:tmpl w:val="55C6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74015F2"/>
    <w:multiLevelType w:val="multilevel"/>
    <w:tmpl w:val="173C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D265E84"/>
    <w:multiLevelType w:val="multilevel"/>
    <w:tmpl w:val="5E9E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CE92793"/>
    <w:multiLevelType w:val="multilevel"/>
    <w:tmpl w:val="F4AE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606ABC"/>
    <w:multiLevelType w:val="multilevel"/>
    <w:tmpl w:val="F16EB4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0559F0"/>
    <w:multiLevelType w:val="multilevel"/>
    <w:tmpl w:val="3044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D5D3E9F"/>
    <w:multiLevelType w:val="multilevel"/>
    <w:tmpl w:val="1330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F106630"/>
    <w:multiLevelType w:val="multilevel"/>
    <w:tmpl w:val="08A2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5516647">
    <w:abstractNumId w:val="14"/>
  </w:num>
  <w:num w:numId="2" w16cid:durableId="984967559">
    <w:abstractNumId w:val="1"/>
  </w:num>
  <w:num w:numId="3" w16cid:durableId="992102607">
    <w:abstractNumId w:val="2"/>
  </w:num>
  <w:num w:numId="4" w16cid:durableId="1945074606">
    <w:abstractNumId w:val="15"/>
  </w:num>
  <w:num w:numId="5" w16cid:durableId="1623458341">
    <w:abstractNumId w:val="3"/>
  </w:num>
  <w:num w:numId="6" w16cid:durableId="1890261647">
    <w:abstractNumId w:val="17"/>
  </w:num>
  <w:num w:numId="7" w16cid:durableId="925307508">
    <w:abstractNumId w:val="4"/>
  </w:num>
  <w:num w:numId="8" w16cid:durableId="1532692068">
    <w:abstractNumId w:val="6"/>
  </w:num>
  <w:num w:numId="9" w16cid:durableId="818900">
    <w:abstractNumId w:val="13"/>
  </w:num>
  <w:num w:numId="10" w16cid:durableId="1094016717">
    <w:abstractNumId w:val="16"/>
  </w:num>
  <w:num w:numId="11" w16cid:durableId="597061512">
    <w:abstractNumId w:val="10"/>
  </w:num>
  <w:num w:numId="12" w16cid:durableId="737437650">
    <w:abstractNumId w:val="0"/>
  </w:num>
  <w:num w:numId="13" w16cid:durableId="1611661719">
    <w:abstractNumId w:val="11"/>
  </w:num>
  <w:num w:numId="14" w16cid:durableId="1788548444">
    <w:abstractNumId w:val="9"/>
  </w:num>
  <w:num w:numId="15" w16cid:durableId="1422140130">
    <w:abstractNumId w:val="7"/>
  </w:num>
  <w:num w:numId="16" w16cid:durableId="1812862822">
    <w:abstractNumId w:val="18"/>
  </w:num>
  <w:num w:numId="17" w16cid:durableId="2143572784">
    <w:abstractNumId w:val="12"/>
  </w:num>
  <w:num w:numId="18" w16cid:durableId="59406805">
    <w:abstractNumId w:val="8"/>
  </w:num>
  <w:num w:numId="19" w16cid:durableId="15484878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67A"/>
    <w:rsid w:val="002B7E37"/>
    <w:rsid w:val="003F7525"/>
    <w:rsid w:val="00496E22"/>
    <w:rsid w:val="006F226C"/>
    <w:rsid w:val="0092367A"/>
    <w:rsid w:val="00A1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73000"/>
  <w15:chartTrackingRefBased/>
  <w15:docId w15:val="{2584160F-B6CA-492B-9924-D466E6B8D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alHeading">
    <w:name w:val="Real_Heading"/>
    <w:basedOn w:val="Normal"/>
    <w:link w:val="RealHeadingChar"/>
    <w:qFormat/>
    <w:rsid w:val="00A145D5"/>
    <w:pPr>
      <w:pBdr>
        <w:top w:val="nil"/>
        <w:left w:val="nil"/>
        <w:bottom w:val="nil"/>
        <w:right w:val="nil"/>
        <w:between w:val="nil"/>
        <w:bar w:val="nil"/>
      </w:pBdr>
      <w:spacing w:after="0" w:line="900" w:lineRule="atLeast"/>
    </w:pPr>
    <w:rPr>
      <w:rFonts w:ascii="Proxima Nova Rg" w:eastAsia="Arial Unicode MS" w:hAnsi="Proxima Nova Rg" w:cs="Arial Unicode MS"/>
      <w:b/>
      <w:bCs/>
      <w:color w:val="0070C0"/>
      <w:sz w:val="56"/>
      <w:szCs w:val="92"/>
      <w:u w:color="8CB4C2"/>
      <w:bdr w:val="nil"/>
      <w:lang w:val="fr-CI" w:eastAsia="de-DE"/>
    </w:rPr>
  </w:style>
  <w:style w:type="character" w:customStyle="1" w:styleId="RealHeadingChar">
    <w:name w:val="Real_Heading Char"/>
    <w:basedOn w:val="DefaultParagraphFont"/>
    <w:link w:val="RealHeading"/>
    <w:rsid w:val="00A145D5"/>
    <w:rPr>
      <w:rFonts w:ascii="Proxima Nova Rg" w:eastAsia="Arial Unicode MS" w:hAnsi="Proxima Nova Rg" w:cs="Arial Unicode MS"/>
      <w:b/>
      <w:bCs/>
      <w:color w:val="0070C0"/>
      <w:sz w:val="56"/>
      <w:szCs w:val="92"/>
      <w:u w:color="8CB4C2"/>
      <w:bdr w:val="nil"/>
      <w:lang w:val="fr-CI" w:eastAsia="de-DE"/>
    </w:rPr>
  </w:style>
  <w:style w:type="character" w:customStyle="1" w:styleId="Heading1Char">
    <w:name w:val="Heading 1 Char"/>
    <w:basedOn w:val="DefaultParagraphFont"/>
    <w:link w:val="Heading1"/>
    <w:uiPriority w:val="9"/>
    <w:rsid w:val="00923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553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Szigeti</dc:creator>
  <cp:keywords/>
  <dc:description/>
  <cp:lastModifiedBy>Martin Szigeti</cp:lastModifiedBy>
  <cp:revision>2</cp:revision>
  <dcterms:created xsi:type="dcterms:W3CDTF">2026-05-11T09:36:00Z</dcterms:created>
  <dcterms:modified xsi:type="dcterms:W3CDTF">2026-05-11T09:36:00Z</dcterms:modified>
</cp:coreProperties>
</file>