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F7BC" w14:textId="2C013659" w:rsidR="00067CF3" w:rsidRDefault="00663F12" w:rsidP="00663F12">
      <w:pPr>
        <w:pStyle w:val="Heading1"/>
      </w:pPr>
      <w:r>
        <w:t>South Sudan</w:t>
      </w:r>
    </w:p>
    <w:p w14:paraId="30270BE9" w14:textId="2463BF57" w:rsidR="00451B3F" w:rsidRPr="00451B3F" w:rsidRDefault="4487BE8D" w:rsidP="7AB7A23C">
      <w:pPr>
        <w:rPr>
          <w:rFonts w:ascii="Aptos" w:eastAsia="Aptos" w:hAnsi="Aptos" w:cs="Aptos"/>
          <w:b/>
          <w:bCs/>
          <w:color w:val="155F81"/>
        </w:rPr>
      </w:pPr>
      <w:r w:rsidRPr="7AB7A23C">
        <w:rPr>
          <w:b/>
          <w:bCs/>
        </w:rPr>
        <w:t>Spatial Pattern: Equatorial States vs. Greater Upper Nile &amp; Lakes</w:t>
      </w:r>
      <w:r w:rsidR="37586183" w:rsidRPr="7AB7A23C">
        <w:rPr>
          <w:b/>
          <w:bCs/>
        </w:rPr>
        <w:t xml:space="preserve"> </w:t>
      </w:r>
      <w:commentRangeStart w:id="0"/>
      <w:commentRangeEnd w:id="0"/>
      <w:r w:rsidR="00451B3F" w:rsidRPr="00451B3F">
        <w:rPr>
          <w:rStyle w:val="CommentReference"/>
          <w:rFonts w:ascii="Aptos" w:eastAsia="Aptos" w:hAnsi="Aptos" w:cs="Aptos"/>
          <w:b/>
          <w:bCs/>
          <w:color w:val="155F81"/>
          <w:sz w:val="24"/>
          <w:szCs w:val="24"/>
        </w:rPr>
        <w:commentReference w:id="0"/>
      </w:r>
    </w:p>
    <w:p w14:paraId="5962CD4B" w14:textId="074EB126" w:rsidR="4487BE8D" w:rsidRDefault="4487BE8D" w:rsidP="7AB7A23C">
      <w:pPr>
        <w:jc w:val="both"/>
      </w:pPr>
      <w:r>
        <w:t xml:space="preserve">South Sudan's SEPI map points to the Equatorial states in the south and Western Bahr el Ghazal in the northwest as the relatively </w:t>
      </w:r>
      <w:r w:rsidR="2C2D9688">
        <w:t xml:space="preserve">higher SEPI score </w:t>
      </w:r>
      <w:r w:rsidR="6FC2C369">
        <w:t>regions</w:t>
      </w:r>
      <w:r>
        <w:t>, contrasted against the Greater Upper Nile states (Upper Nile, Jonglei, Unity) and Lakes.</w:t>
      </w:r>
    </w:p>
    <w:p w14:paraId="44129EBF" w14:textId="140884D4" w:rsidR="7AB7A23C" w:rsidRDefault="7AB7A23C" w:rsidP="7AB7A23C">
      <w:pPr>
        <w:jc w:val="both"/>
        <w:rPr>
          <w:b/>
          <w:bCs/>
        </w:rPr>
      </w:pPr>
    </w:p>
    <w:p w14:paraId="3B97601F" w14:textId="77777777" w:rsidR="00451B3F" w:rsidRPr="00451B3F" w:rsidRDefault="00451B3F" w:rsidP="00BC5919">
      <w:pPr>
        <w:jc w:val="both"/>
      </w:pPr>
      <w:r w:rsidRPr="00451B3F">
        <w:rPr>
          <w:b/>
          <w:bCs/>
        </w:rPr>
        <w:t>What might explain the divide?</w:t>
      </w:r>
    </w:p>
    <w:p w14:paraId="394F5EE0" w14:textId="3483C083" w:rsidR="00451B3F" w:rsidRPr="00451B3F" w:rsidRDefault="00451B3F" w:rsidP="00BC5919">
      <w:pPr>
        <w:numPr>
          <w:ilvl w:val="0"/>
          <w:numId w:val="3"/>
        </w:numPr>
        <w:jc w:val="both"/>
      </w:pPr>
      <w:r w:rsidRPr="00451B3F">
        <w:rPr>
          <w:b/>
          <w:bCs/>
        </w:rPr>
        <w:t>Civil war geography</w:t>
      </w:r>
      <w:r w:rsidRPr="00451B3F">
        <w:t>: The 2013–2018 civil war's most devastating atrocities concentrated in Unity, Jonglei, and Upper Nile</w:t>
      </w:r>
      <w:r w:rsidR="0034292D">
        <w:t>,</w:t>
      </w:r>
      <w:r w:rsidRPr="00451B3F">
        <w:t xml:space="preserve"> regions where the SEPI now records the deepest collapse. The Equatorial states followed a different conflict trajectory and retained more institutional and livelihood capacity.</w:t>
      </w:r>
    </w:p>
    <w:p w14:paraId="34F79A82" w14:textId="4C401625" w:rsidR="00451B3F" w:rsidRPr="00451B3F" w:rsidRDefault="00451B3F" w:rsidP="00BC5919">
      <w:pPr>
        <w:numPr>
          <w:ilvl w:val="0"/>
          <w:numId w:val="3"/>
        </w:numPr>
        <w:jc w:val="both"/>
      </w:pPr>
      <w:r w:rsidRPr="00451B3F">
        <w:rPr>
          <w:b/>
          <w:bCs/>
        </w:rPr>
        <w:t>Land productivity</w:t>
      </w:r>
      <w:r w:rsidRPr="00451B3F">
        <w:t>: Equatorial states lie in tropical/subtropical zones with higher agricultural potential. The Greater Upper Nile states rely more on pastoralism and flood-dependent agriculture</w:t>
      </w:r>
      <w:r w:rsidR="0034292D">
        <w:t>,</w:t>
      </w:r>
      <w:r w:rsidRPr="00451B3F">
        <w:t xml:space="preserve"> livelihood systems more exposed to both conflict-driven displacement and climate variability.</w:t>
      </w:r>
    </w:p>
    <w:p w14:paraId="4F56496A" w14:textId="4F5B9AC4" w:rsidR="00BC5919" w:rsidRDefault="4487BE8D" w:rsidP="7AB7A23C">
      <w:pPr>
        <w:numPr>
          <w:ilvl w:val="0"/>
          <w:numId w:val="3"/>
        </w:numPr>
        <w:jc w:val="both"/>
      </w:pPr>
      <w:r w:rsidRPr="7AB7A23C">
        <w:rPr>
          <w:b/>
          <w:bCs/>
        </w:rPr>
        <w:t>Oil-conflict trap</w:t>
      </w:r>
      <w:r>
        <w:t>: Unity and Upper Nile sit on South Sudan's main oilfields, yet rank last. The data points to a pattern where resource wealth intensifies conflict over control rather than generating local welfare</w:t>
      </w:r>
      <w:r w:rsidR="0E62B467">
        <w:t>,</w:t>
      </w:r>
      <w:r>
        <w:t xml:space="preserve"> a dynamic that the SEPI captures through near-zero food security and health scores in these states.</w:t>
      </w:r>
    </w:p>
    <w:p w14:paraId="2D6D2CA3" w14:textId="6AD01091" w:rsidR="00BC5919" w:rsidRDefault="045E1AAE" w:rsidP="00663F12">
      <w:r>
        <w:rPr>
          <w:noProof/>
        </w:rPr>
        <w:lastRenderedPageBreak/>
        <w:drawing>
          <wp:inline distT="0" distB="0" distL="0" distR="0" wp14:anchorId="365F5C5D" wp14:editId="7258DBDE">
            <wp:extent cx="5943600" cy="3714750"/>
            <wp:effectExtent l="0" t="0" r="0" b="0"/>
            <wp:docPr id="14179368" name="Picture 4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68" name="Picture 4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263F" w14:textId="071F34FA" w:rsidR="00BC5919" w:rsidRDefault="4E7DCEDD" w:rsidP="7AB7A23C">
      <w:r>
        <w:rPr>
          <w:noProof/>
        </w:rPr>
        <w:drawing>
          <wp:inline distT="0" distB="0" distL="0" distR="0" wp14:anchorId="556E51A2" wp14:editId="20A27A8D">
            <wp:extent cx="5943600" cy="4248150"/>
            <wp:effectExtent l="0" t="0" r="0" b="0"/>
            <wp:docPr id="93470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732" name="Picture 934707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F516" w14:textId="77777777" w:rsidR="00BC5919" w:rsidRDefault="00BC5919" w:rsidP="00663F12"/>
    <w:p w14:paraId="11190A93" w14:textId="5D825774" w:rsidR="008B4EB0" w:rsidRPr="00663F12" w:rsidRDefault="008B4EB0" w:rsidP="7AB7A23C">
      <w:pPr>
        <w:jc w:val="both"/>
        <w:rPr>
          <w:b/>
          <w:bCs/>
        </w:rPr>
      </w:pPr>
    </w:p>
    <w:p w14:paraId="73A65982" w14:textId="54FAD703" w:rsidR="008B4EB0" w:rsidRPr="00663F12" w:rsidRDefault="008B4EB0" w:rsidP="7AB7A23C">
      <w:pPr>
        <w:jc w:val="both"/>
        <w:rPr>
          <w:b/>
          <w:bCs/>
        </w:rPr>
      </w:pPr>
    </w:p>
    <w:p w14:paraId="2BCDD809" w14:textId="6811E7FD" w:rsidR="008B4EB0" w:rsidRPr="00663F12" w:rsidRDefault="008B4EB0" w:rsidP="7AB7A23C">
      <w:pPr>
        <w:jc w:val="both"/>
        <w:rPr>
          <w:b/>
          <w:bCs/>
        </w:rPr>
      </w:pPr>
    </w:p>
    <w:p w14:paraId="0D831644" w14:textId="41FA2123" w:rsidR="008B4EB0" w:rsidRPr="00663F12" w:rsidRDefault="008B4EB0" w:rsidP="7AB7A23C">
      <w:pPr>
        <w:jc w:val="both"/>
        <w:rPr>
          <w:b/>
          <w:bCs/>
        </w:rPr>
      </w:pPr>
    </w:p>
    <w:p w14:paraId="5934BC30" w14:textId="5DDA0C89" w:rsidR="008B4EB0" w:rsidRPr="00663F12" w:rsidRDefault="008B4EB0" w:rsidP="7AB7A23C">
      <w:pPr>
        <w:jc w:val="both"/>
        <w:rPr>
          <w:b/>
          <w:bCs/>
        </w:rPr>
      </w:pPr>
    </w:p>
    <w:p w14:paraId="55F3B089" w14:textId="5CA6052E" w:rsidR="008B4EB0" w:rsidRPr="00663F12" w:rsidRDefault="008B4EB0" w:rsidP="7AB7A23C">
      <w:pPr>
        <w:jc w:val="both"/>
        <w:rPr>
          <w:b/>
          <w:bCs/>
        </w:rPr>
      </w:pPr>
    </w:p>
    <w:p w14:paraId="10FCD72F" w14:textId="672815E3" w:rsidR="008B4EB0" w:rsidRPr="00663F12" w:rsidRDefault="008B4EB0" w:rsidP="7AB7A23C">
      <w:pPr>
        <w:jc w:val="both"/>
        <w:rPr>
          <w:b/>
          <w:bCs/>
        </w:rPr>
      </w:pPr>
    </w:p>
    <w:p w14:paraId="63B84FAF" w14:textId="60188777" w:rsidR="008B4EB0" w:rsidRPr="00663F12" w:rsidRDefault="008B4EB0" w:rsidP="7AB7A23C">
      <w:pPr>
        <w:jc w:val="both"/>
        <w:rPr>
          <w:b/>
          <w:bCs/>
        </w:rPr>
      </w:pPr>
    </w:p>
    <w:p w14:paraId="2EA06164" w14:textId="2FB1234D" w:rsidR="008B4EB0" w:rsidRPr="00663F12" w:rsidRDefault="008B4EB0" w:rsidP="7AB7A23C">
      <w:pPr>
        <w:jc w:val="both"/>
        <w:rPr>
          <w:b/>
          <w:bCs/>
        </w:rPr>
      </w:pPr>
    </w:p>
    <w:p w14:paraId="7C2BAD87" w14:textId="63E97A63" w:rsidR="008B4EB0" w:rsidRPr="00663F12" w:rsidRDefault="008B4EB0" w:rsidP="7AB7A23C">
      <w:pPr>
        <w:jc w:val="both"/>
        <w:rPr>
          <w:b/>
          <w:bCs/>
        </w:rPr>
      </w:pPr>
    </w:p>
    <w:sectPr w:rsidR="008B4EB0" w:rsidRPr="00663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a Dogan" w:date="2026-05-21T18:07:00Z" w:initials="ED">
    <w:p w14:paraId="538E9867" w14:textId="6D7BE3A8" w:rsidR="00CC4D17" w:rsidRDefault="00CC4D17">
      <w:r>
        <w:annotationRef/>
      </w:r>
      <w:r w:rsidRPr="1B46536A">
        <w:t xml:space="preserve">All this to </w:t>
      </w:r>
      <w:r w:rsidRPr="2956585C">
        <w:rPr>
          <w:b/>
          <w:bCs/>
        </w:rPr>
        <w:t xml:space="preserve">ACTIVE LAYERS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8E98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8A72C2" w16cex:dateUtc="2026-05-21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8E9867" w16cid:durableId="5D8A72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327"/>
    <w:multiLevelType w:val="multilevel"/>
    <w:tmpl w:val="BB8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50B3"/>
    <w:multiLevelType w:val="multilevel"/>
    <w:tmpl w:val="32E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55867"/>
    <w:multiLevelType w:val="multilevel"/>
    <w:tmpl w:val="534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61621">
    <w:abstractNumId w:val="1"/>
  </w:num>
  <w:num w:numId="2" w16cid:durableId="1161509414">
    <w:abstractNumId w:val="2"/>
  </w:num>
  <w:num w:numId="3" w16cid:durableId="12319624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a Dogan">
    <w15:presenceInfo w15:providerId="AD" w15:userId="S::ela.dogan@undp.org::76903679-6caf-4a2f-b336-2e3011451c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21"/>
    <w:rsid w:val="00036992"/>
    <w:rsid w:val="0005535D"/>
    <w:rsid w:val="00067CF3"/>
    <w:rsid w:val="00077836"/>
    <w:rsid w:val="000A44CF"/>
    <w:rsid w:val="000A4B21"/>
    <w:rsid w:val="000A63FC"/>
    <w:rsid w:val="000D757C"/>
    <w:rsid w:val="00140857"/>
    <w:rsid w:val="00183933"/>
    <w:rsid w:val="001B7DAD"/>
    <w:rsid w:val="001F6731"/>
    <w:rsid w:val="001F7E91"/>
    <w:rsid w:val="00200594"/>
    <w:rsid w:val="00297240"/>
    <w:rsid w:val="0034292D"/>
    <w:rsid w:val="00401DCA"/>
    <w:rsid w:val="00404570"/>
    <w:rsid w:val="00451B3F"/>
    <w:rsid w:val="004A0D41"/>
    <w:rsid w:val="00565904"/>
    <w:rsid w:val="005829DD"/>
    <w:rsid w:val="005C7640"/>
    <w:rsid w:val="00647E7C"/>
    <w:rsid w:val="006551AC"/>
    <w:rsid w:val="00663F12"/>
    <w:rsid w:val="006C5064"/>
    <w:rsid w:val="00707F4A"/>
    <w:rsid w:val="007405D5"/>
    <w:rsid w:val="00793D83"/>
    <w:rsid w:val="007D6EEE"/>
    <w:rsid w:val="0088756E"/>
    <w:rsid w:val="008B4EB0"/>
    <w:rsid w:val="008C3A32"/>
    <w:rsid w:val="009D04D1"/>
    <w:rsid w:val="00A50F4C"/>
    <w:rsid w:val="00A90520"/>
    <w:rsid w:val="00AD63E7"/>
    <w:rsid w:val="00AF6DCD"/>
    <w:rsid w:val="00B300DE"/>
    <w:rsid w:val="00B31BDB"/>
    <w:rsid w:val="00B40723"/>
    <w:rsid w:val="00BC2D99"/>
    <w:rsid w:val="00BC5919"/>
    <w:rsid w:val="00C33152"/>
    <w:rsid w:val="00C51C1D"/>
    <w:rsid w:val="00C61D3C"/>
    <w:rsid w:val="00DB191E"/>
    <w:rsid w:val="00DE72A5"/>
    <w:rsid w:val="00E81826"/>
    <w:rsid w:val="00EC7CD9"/>
    <w:rsid w:val="00EE5B48"/>
    <w:rsid w:val="00F17590"/>
    <w:rsid w:val="00FC71DF"/>
    <w:rsid w:val="045E1AAE"/>
    <w:rsid w:val="072EF89A"/>
    <w:rsid w:val="07BDBFC5"/>
    <w:rsid w:val="0AB414D1"/>
    <w:rsid w:val="0E62B467"/>
    <w:rsid w:val="144682E8"/>
    <w:rsid w:val="1BC2E786"/>
    <w:rsid w:val="22DC6C80"/>
    <w:rsid w:val="2C2D9688"/>
    <w:rsid w:val="32FC5B40"/>
    <w:rsid w:val="37586183"/>
    <w:rsid w:val="3A8B508F"/>
    <w:rsid w:val="3CF629D9"/>
    <w:rsid w:val="41C32E81"/>
    <w:rsid w:val="4487BE8D"/>
    <w:rsid w:val="459E8B81"/>
    <w:rsid w:val="4E7DCEDD"/>
    <w:rsid w:val="5312C65C"/>
    <w:rsid w:val="62C9B00B"/>
    <w:rsid w:val="6384136D"/>
    <w:rsid w:val="6FC2C369"/>
    <w:rsid w:val="7AB7A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D3F5"/>
  <w15:chartTrackingRefBased/>
  <w15:docId w15:val="{79794371-F2B3-46FA-87C7-15FC479E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21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89adc-eefc-4033-818a-934b0690d419" xsi:nil="true"/>
    <lcf76f155ced4ddcb4097134ff3c332f xmlns="6b197b6a-cffc-4ca7-9de0-77d82e42a5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42B76D3943E45BF64D245CF3114CD" ma:contentTypeVersion="15" ma:contentTypeDescription="Create a new document." ma:contentTypeScope="" ma:versionID="d5ba5936a75c8d447e4e406132183400">
  <xsd:schema xmlns:xsd="http://www.w3.org/2001/XMLSchema" xmlns:xs="http://www.w3.org/2001/XMLSchema" xmlns:p="http://schemas.microsoft.com/office/2006/metadata/properties" xmlns:ns2="6b197b6a-cffc-4ca7-9de0-77d82e42a5a9" xmlns:ns3="fcf89adc-eefc-4033-818a-934b0690d419" targetNamespace="http://schemas.microsoft.com/office/2006/metadata/properties" ma:root="true" ma:fieldsID="15bef01bedf2aefd4e64008507d53695" ns2:_="" ns3:_="">
    <xsd:import namespace="6b197b6a-cffc-4ca7-9de0-77d82e42a5a9"/>
    <xsd:import namespace="fcf89adc-eefc-4033-818a-934b0690d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7b6a-cffc-4ca7-9de0-77d82e42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89adc-eefc-4033-818a-934b0690d4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0748d2-dd91-460d-ad01-dabbfb816a42}" ma:internalName="TaxCatchAll" ma:showField="CatchAllData" ma:web="fcf89adc-eefc-4033-818a-934b0690d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41F72-1B3A-44DE-86C0-574C8CBDE986}">
  <ds:schemaRefs>
    <ds:schemaRef ds:uri="http://schemas.microsoft.com/office/2006/metadata/properties"/>
    <ds:schemaRef ds:uri="http://schemas.microsoft.com/office/infopath/2007/PartnerControls"/>
    <ds:schemaRef ds:uri="fcf89adc-eefc-4033-818a-934b0690d419"/>
    <ds:schemaRef ds:uri="6b197b6a-cffc-4ca7-9de0-77d82e42a5a9"/>
  </ds:schemaRefs>
</ds:datastoreItem>
</file>

<file path=customXml/itemProps2.xml><?xml version="1.0" encoding="utf-8"?>
<ds:datastoreItem xmlns:ds="http://schemas.openxmlformats.org/officeDocument/2006/customXml" ds:itemID="{8770D278-0438-478B-878D-21791C483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B2E51-B970-4421-B75E-8D6C58B2C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7b6a-cffc-4ca7-9de0-77d82e42a5a9"/>
    <ds:schemaRef ds:uri="fcf89adc-eefc-4033-818a-934b0690d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Dogan</dc:creator>
  <cp:keywords/>
  <dc:description/>
  <cp:lastModifiedBy>Martin Szigeti</cp:lastModifiedBy>
  <cp:revision>2</cp:revision>
  <dcterms:created xsi:type="dcterms:W3CDTF">2026-05-22T12:30:00Z</dcterms:created>
  <dcterms:modified xsi:type="dcterms:W3CDTF">2026-05-22T12:30:00Z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0x010100E6142B76D3943E45BF64D245CF3114CD</vt:lpwstr>
  </property>
  <property fmtid="{D5CDD505-2E9C-101B-9397-08002B2CF9AE}" pid="3" name="MediaServiceImageTags">
    <vt:lpwstr/>
  </property>
</Properties>
</file>