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rPr>
          <w:i w:val="0"/>
        </w:rPr>
        <w:t xml:space="preserve">Según el </w:t>
      </w:r>
      <w:r>
        <w:rPr>
          <w:i/>
        </w:rPr>
        <w:t>Economic Survey 2026</w:t>
      </w:r>
      <w:r>
        <w:rPr>
          <w:i w:val="0"/>
        </w:rPr>
        <w:t xml:space="preserve"> de KNBS, el PIB real de Kenia creció un 4,6 % en 2025, frente al 4,7 % de 2024.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Un estudio de Zamara, CAHF y FSD Kenya publicado en 2026 identifica restricciones de acceso a vivienda incluso entre personas vinculadas a fondos de pensiones. El cliente propuesto será, por ello, un hogar pequeño de trabajadores con ingresos documentables, sin presentar el proyecto como solución para toda la población de bajos ingresos (Shah et al., 2026).</w:t>
      </w:r>
    </w:p>
    <w:p>
      <w:r>
        <w:t>Kenia participa en la integración africana a través de la Unión Africana y de acuerdos continentales y subregionales (InfoTradeKenya, s. f.). 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r>
        <w:t>Kenia también participa en la AfCFTA. El portal oficial de comercio distingue la entrada en vigor del acuerdo, en mayo de 2019, del inicio del comercio en enero de 2021. Su aplicación gradual exige distinguir la pertenencia al acuerdo de las condiciones efectivas de acceso a cada mercado. Para el proyecto de vivienda en Nairobi, el acuerdo podría generar oportunidades si favorece la inversión y la creación de empleo. Sin embargo, estos posibles efectos no garantizan que exista demanda para los alquileres propuestos (InfoTradeKenya,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aunque la solvencia del inquilino dependerá de sus ingresos y obligaciones.</w:t>
      </w:r>
    </w:p>
    <w:p>
      <w:r>
        <w:t>Otro activo es la existencia de organizaciones capaces de desarrollar y gestionar vivienda con inversión institucional. La ficha de IFC sobre IHS describe desarrollo y adquisición de vivienda en Nairobi y otras zonas urbanas, con criterios de eficiencia de recursos y colaboración con promotores. Este precedente muestra una vía para organizar capital destinado a vivienda. Una nueva operación necesitaría justificar su demanda, sus costes y la modalidad de tenencia (International Finance Corporation, 2024).</w:t>
      </w:r>
    </w:p>
    <w:p>
      <w:r>
        <w:t xml:space="preserve">El contexto de inversión debe distinguir flujos anuales y capital acumulado. La ficha keniana del </w:t>
      </w:r>
      <w:r>
        <w:rPr>
          <w:i/>
        </w:rPr>
        <w:t>World Investment Report 2025</w:t>
      </w:r>
      <w:r>
        <w:t xml:space="preserve"> de UNCTAD registra entradas de IED de 1.503 millones de dólares en 2024; su informe COMESA 2025 las redondea a 1.500 millones. Se trata de flujos nacionales, no de recursos disponibles para vivienda. Ambas publicaciones comparten la base de UNCTAD: su coincidencia permite contrastar la cifra, pero no constituye una medición independiente. El dato corresponde a 2024 según la edición 2025 (UNCTAD, 2025a, 2025b).</w:t>
      </w:r>
    </w:p>
    <w:p>
      <w:r>
        <w:t>La iniciativa de Acorn para ampliar el alquiler y el programa de IHS muestran precedentes de organización institucional de capital. Su desarrollo es una oportunidad condicionada por demanda y ejecución, no una promesa automática de financiación del proyecto (Private Infrastructure Development Group, 2025).</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t>Desde 1980, los programas de ajuste estructural impulsaron la liberalización de la economía keniana. Buscaban aumentar la participación privada y orientar la producción hacia mercados externos. Este proceso debe examinarse junto con las restricciones heredadas y las decisiones internas, evitando atribuir los resultados a una única causa (Gamba &amp; Kibaara, 2007).</w:t>
      </w:r>
    </w:p>
    <w:p>
      <w:r>
        <w:t>Los objetivos de eficiencia y estabilización deben contrastarse con la distribución de los costes. El informe de desarrollo humano de Kenia patrocinado por PNUD describe reformas de privatización, empleo público y gasto, además de barreras de acceso a servicios para grupos vulnerables. Esta perspectiva complementa el registro financiero de los organismos acreedores: una reforma puede alterar incentivos y, simultáneamente, reducir la capacidad de determinados hogares para cubrir necesidades. No basta con juzgarla por una sola variable macroeconómica (</w:t>
      </w:r>
      <w:r>
        <w:rPr>
          <w:i/>
        </w:rPr>
        <w:t>Kenya National Human Development Report 2006</w:t>
      </w:r>
      <w:r>
        <w:t>, 2006).</w:t>
      </w:r>
    </w:p>
    <w:p>
      <w:r>
        <w:t>Estas reformas ayudan a entender por qué la capacidad de pago no puede deducirse únicamente del salario. Si el hogar debe asumir más gastos de servicios esenciales, dispone de menos recursos para vivienda. El alquiler se evaluará dentro de ese presupuesto, relacionando la trayectoria económica con las condiciones de los clientes.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Esta edición revisa el 7,5 % de publicaciones anteriores. El repunte reflejó reapertura y recuperación sectorial, por lo que no debe extrapolarse como ritmo permanente. Además, que ambas instituciones reproduzcan la serie nacional no constituye una estimación independiente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No es una medición del año natural 2025 ni de octubre de 2026.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t xml:space="preserve">El marco de Acemoglu y Robinson, desarrollado en </w:t>
      </w:r>
      <w:r>
        <w:rPr>
          <w:i/>
        </w:rPr>
        <w:t>Why Nations Fail</w:t>
      </w:r>
      <w:r>
        <w:t xml:space="preserve"> (2012),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 Estos mecanismos son hipótesis interpretativas que deben contrastarse con el caso, no efectos medidos por este informe (Acemoglu &amp; Robinson, 2012). Este enfoque permite examinar diferencias entre ámbitos institucionales de Kenia, sin clasificar al país de forma uniforme como inclusivo o extractivo.</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aplicado a la vivienda de alquiler</w:t>
      </w:r>
    </w:p>
    <w:p>
      <w:r>
        <w:t>El DAFO relaciona los hallazgos anteriores con las condiciones que deberá reunir la inversión.</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interna</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externa</w:t>
            </w:r>
          </w:p>
        </w:tc>
      </w:tr>
      <w:tr>
        <w:trPr>
          <w:cantSplit/>
        </w:trPr>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Fortalezas:</w:t>
            </w:r>
            <w:r>
              <w:rPr>
                <w:sz w:val="20"/>
              </w:rPr>
              <w:t xml:space="preserve"> concentración de actividad en Nairobi; experiencia en servicios y pagos digitales; presencia de promotores y vehículos institucionales de vivienda. Estas capacidades permiten estudiar una oferta de alquiler gestionada profesionalmente (§§ 2–3).</w:t>
            </w:r>
          </w:p>
        </w:tc>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Oportunidades:</w:t>
            </w:r>
            <w:r>
              <w:rPr>
                <w:sz w:val="20"/>
              </w:rPr>
              <w:t xml:space="preserve"> integración regional y posibilidades de captar capital de largo plazo, ilustradas por el programa de IHS y la iniciativa de Acorn. Su aprovechamiento exige convertir los marcos y compromisos en proyectos ejecutables (§§ 2–3).</w:t>
            </w:r>
          </w:p>
        </w:tc>
      </w:tr>
      <w:tr>
        <w:trPr>
          <w:cantSplit/>
        </w:trPr>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Debilidades:</w:t>
            </w:r>
            <w:r>
              <w:rPr>
                <w:sz w:val="20"/>
              </w:rPr>
              <w:t xml:space="preserve"> creación insuficiente de empleo formal, restricciones de capacidad de pago y problemas de gobernanza. El suelo y los servicios requieren comprobación local. La necesidad residencial no equivale a demanda solvente (§§ 2–4).</w:t>
            </w:r>
          </w:p>
        </w:tc>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Amenazas:</w:t>
            </w:r>
            <w:r>
              <w:rPr>
                <w:sz w:val="20"/>
              </w:rPr>
              <w:t xml:space="preserve"> shocks climáticos, dificultades de financiación y volatilidad económica. La presión fiscal limita la capacidad de respaldar inversiones y los hogares pueden perder margen de gasto durante una crisis (§ 4.4).</w:t>
            </w:r>
          </w:p>
        </w:tc>
      </w:tr>
    </w:tbl>
    <w:p>
      <w:pPr>
        <w:spacing w:after="0"/>
      </w:pPr>
    </w:p>
    <w:p>
      <w:r>
        <w:t>Las fortalezas y oportunidades justifican explorar el proyecto, mientras las debilidades y amenazas condicionan su diseño. La respuesta a ingresos limitados debe ser ajustar producto y costes; la respuesta a riesgos climáticos, escoger y diseñar bien la parcela; y la respuesta a incertidumbre institucional, asegurar trazabilidad y reglas contractuales. Estas condiciones guían el plan de inversión.</w:t>
      </w:r>
    </w:p>
    <w:p>
      <w:pPr>
        <w:pStyle w:val="Heading1"/>
      </w:pPr>
      <w:r>
        <w:t>6. Propuesta de inversión y plan de acción</w:t>
      </w:r>
    </w:p>
    <w:p>
      <w:pPr>
        <w:pStyle w:val="Heading2"/>
      </w:pPr>
      <w:r>
        <w:t>6.1. Sector, producto y modalidad de inversión</w:t>
      </w:r>
    </w:p>
    <w:p>
      <w:r>
        <w:t>Se propone ampliar la inversión en vivienda construida para alquiler de larga duración en Nairobi. La ubicación de estudio es Riruta y el público prioritario son hogares pequeños de trabajadores con ingresos regulares, incluidos autónomos capaces de documentarlos. El producto combinaría estudios y viviendas de un dormitorio. La proporción, superficie y número de unidades se decidirían después de comprobar demanda y costes; la propuesta no presupone que exista ya una parcela disponible.</w:t>
      </w:r>
    </w:p>
    <w:p>
      <w:r>
        <w:t>La elección frente a vivienda para venta responde al objetivo del trabajo: atender una necesidad residencial sin exigir una compra ni un compromiso hipotecario al cliente. Frente a oficinas o alojamiento turístico, permite vincular más directamente la inversión con condiciones de vida de trabajadores. La elección responde a ese objetivo residencial; no implica que sea el segmento más rentable.</w:t>
      </w:r>
    </w:p>
    <w:p>
      <w:r>
        <w:t>Riruta se selecciona como zona de estudio porque existen actuaciones residenciales documentadas en ella. El estudio ambiental de 2025 del proyecto Keza–IHS, alojado por NEMA, sitúa esa promoción en Ndwaru Road, Dagoretti South, Nairobi, y señala necesidades locales de seguridad peatonal. Es una referencia para estudiar competencia, accesos y servicios, aunque sus conclusiones corresponden a otra promoción y no se pueden trasladar a una parcela de Acorn (Centric Africa Ltd., 2025).</w:t>
      </w:r>
    </w:p>
    <w:p>
      <w:r>
        <w:t>La capacidad de pago se evaluará sobre ingreso neto del hogar, alquiler, servicios, depósito y transporte. El estudio de trabajadores de FSD Kenya confirma que la estabilidad laboral no elimina restricciones presupuestarias, pero no proporciona una mediana representativa de Riruta. Por eso no se fija una tarifa ni se califica el producto como asequible de antemano. Se propone vivienda para un segmento de trabajadores con capacidad acreditada, reconociendo que el de menor ingreso podría necesitar otra estructura de costes o apoyo específico.</w:t>
      </w:r>
    </w:p>
    <w:p>
      <w:r>
        <w:t>La modalidad propuesta sería capital de largo plazo asociado a un promotor-operador local, con propiedad y gestión unificadas durante la explotación. Esto permite responsabilizar a un mismo proyecto de conservación, cobros y servicio al inquilino. La entrada de un inversor extranjero podría canalizarse mediante una participación en el vehículo propietario, sujeta a la estructura legal y financiera aplicable; no toda suscripción de un producto financiero constituye automáticamente IED.</w:t>
      </w:r>
    </w:p>
    <w:p>
      <w:r>
        <w:t>Frente a estudiar una nueva implantación en Kampala o Kigali, se prioriza aprovechar las capacidades kenianas ya documentadas de Acorn e IHS. Esta elección reduce el número de capacidades que habría que construir desde cero y permite concentrar el análisis en producto y clientes. Es una ventaja de ejecución propuesta, no una superioridad demostrada de Nairobi en rentabilidad o costes.</w:t>
      </w:r>
    </w:p>
    <w:p>
      <w:pPr>
        <w:pStyle w:val="Heading2"/>
      </w:pPr>
      <w:r>
        <w:t>6.2. Empresas objetivo y empresa de cabecera</w:t>
      </w:r>
    </w:p>
    <w:p>
      <w:r>
        <w:rPr>
          <w:b/>
        </w:rPr>
        <w:t>Acorn Holdings</w:t>
      </w:r>
      <w:r>
        <w:t xml:space="preserve"> es la empresa de cabecera elegida porque combina desarrollo, propiedad y gestión de alquiler. Su estrategia corporativa plantea extender su experiencia desde estudiantes hacia jóvenes profesionales y, posteriormente, familias. Esto encaja con trabajadores que comienzan una etapa residencial independiente, aunque obliga a comprobar que sus ingresos y necesidades corresponden al producto. La experiencia estudiantil es transferible en gestión, pero no demuestra por sí sola aceptación de viviendas para parejas o familias (Acorn Holdings, s. f.).</w:t>
      </w:r>
    </w:p>
    <w:p>
      <w:r>
        <w:t>La selección también responde a una iniciativa concreta. PIDG anunció el 17 de noviembre de 2025 la autorización de un Acorn Build-To-Rent Development REIT destinado a jóvenes urbanos que han terminado sus estudios, con capital comprometido para su establecimiento. El anuncio respalda la coherencia estratégica de nuestra propuesta; no acredita que haya una promoción de Acorn en Riruta ni viviendas terminadas para estos clientes. El trabajo plantea una posible ampliación, no atribuye a la empresa decisiones que no ha anunciado (Private Infrastructure Development Group, 2025).</w:t>
      </w:r>
    </w:p>
    <w:p>
      <w:r>
        <w:t>Su aportación potencial sería organizar diseño, contratación, captación de capital y explotación, además de implantar mantenimiento y atención al inquilino. El valor añadido local deberá concretarse en empleo, formación y compras a proveedores, sin dar por hecho que se produzca por la sola presencia de una empresa institucional. La integración de desarrollo y gestión permitiría asignarle responsabilidades durante la construcción y el uso del inmueble.</w:t>
      </w:r>
    </w:p>
    <w:p>
      <w:r>
        <w:t>El mercado potencial de Acorn comprende hogares que valoren estabilidad, servicios y proximidad al empleo. Su disposición a pagar debe contrastarse con alternativas existentes. Se propone consultar empleadores y organizaciones profesionales, sin limitar el acceso a empleados de una única empresa ni convertir una intención de interés en una reserva firme.</w:t>
      </w:r>
    </w:p>
    <w:p>
      <w:r>
        <w:t>La continuidad de Acorn como cabecera estará condicionada al ajuste entre costes e ingresos. Un producto que solo resulte viable para hogares de mayor poder adquisitivo requeriría redefinir su alcance. La profesionalización aportará inclusión si mejora estabilidad y servicios a un coste asumible; su contribución debe verificarse mediante resultados de los residentes.</w:t>
      </w:r>
    </w:p>
    <w:p>
      <w:r>
        <w:rPr>
          <w:b/>
        </w:rPr>
        <w:t>International Housing Solutions (IHS)</w:t>
      </w:r>
      <w:r>
        <w:t xml:space="preserve"> es una segunda empresa objetivo por su experiencia en fondos de vivienda y su programa keniano. La documentación de IFC contempla alquiler, venta y alquiler con opción de compra; por ello, habría que acordar expresamente una operación destinada a alquiler permanente. Se estudiaría como alternativa para captar y gestionar capital, sin presumir que dispone de fondos comprometidos para esta promoción (International Finance Corporation, 2024).</w:t>
      </w:r>
    </w:p>
    <w:p>
      <w:r>
        <w:rPr>
          <w:b/>
        </w:rPr>
        <w:t>Fusion Capital</w:t>
      </w:r>
      <w:r>
        <w:t xml:space="preserve"> es la alternativa regional por su experiencia documentada de vivienda de alquiler. El estudio de Reall sobre sus inquilinos permite observar mejoras residenciales junto con dificultades de asequibilidad, aunque su muestra no representa a toda Nairobi. Aporta una comparación útil sobre cómo equilibrar calidad y precio. No se propone que las tres empresas formen un consorcio: se selecciona Acorn y se explican las alternativas (Robinson et al., 2025).</w:t>
      </w:r>
    </w:p>
    <w:p>
      <w:pPr>
        <w:pStyle w:val="Heading2"/>
      </w:pPr>
      <w:r>
        <w:t>6.3. Plan 360º responsables, plazos e indicadores</w:t>
      </w:r>
    </w:p>
    <w:p>
      <w:r>
        <w:t>El calendario es una propuesta propia desde el inicio del estudio. La apertura dependerá de parcela, permisos, diseño y financiación; los plazos no son compromisos de empresas o autoridades.</w:t>
      </w:r>
    </w:p>
    <w:tbl>
      <w:tblPr>
        <w:tblW w:type="auto" w:w="0"/>
        <w:jc w:val="center"/>
        <w:tblLayout w:type="fixed"/>
        <w:tblLook w:firstColumn="1" w:firstRow="1" w:lastColumn="0" w:lastRow="0" w:noHBand="0" w:noVBand="1" w:val="04A0"/>
      </w:tblPr>
      <w:tblGrid>
        <w:gridCol w:w="1512"/>
        <w:gridCol w:w="2592"/>
        <w:gridCol w:w="1872"/>
        <w:gridCol w:w="1368"/>
        <w:gridCol w:w="1973"/>
      </w:tblGrid>
      <w:tr>
        <w:trPr>
          <w:cantSplit/>
          <w:tblHeader/>
        </w:trPr>
        <w:tc>
          <w:tcPr>
            <w:tcW w:type="dxa" w:w="151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Palanca</w:t>
            </w:r>
          </w:p>
        </w:tc>
        <w:tc>
          <w:tcPr>
            <w:tcW w:type="dxa" w:w="259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Actuación propuesta</w:t>
            </w:r>
          </w:p>
        </w:tc>
        <w:tc>
          <w:tcPr>
            <w:tcW w:type="dxa" w:w="187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Responsable propuesto</w:t>
            </w:r>
          </w:p>
        </w:tc>
        <w:tc>
          <w:tcPr>
            <w:tcW w:type="dxa" w:w="136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Plazo orientativo</w:t>
            </w:r>
          </w:p>
        </w:tc>
        <w:tc>
          <w:tcPr>
            <w:tcW w:type="dxa" w:w="1973"/>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Evidencia de ejecución</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Formación y capital humano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Identificar perfiles de obra y gestión; acordar prácticas remuneradas y formación con un centro técnico local</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 contratista y centro formativo seleccionado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Diseño en meses 0–6; ejecución durante obra y operación</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Personas formadas, certificaciones, contratación y continuidad laboral</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Marco legislativo y regulatorio</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Revisar título, uso permitido, estructura de inversión y permisos; preparar contrato y cargos comprensibles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Asesoría local, promotor y autoridades competentes</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Comprobaciones iniciales en meses 0–6; autorizaciones antes de cada fase</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Documentación validada y registro de solicitudes y resoluciones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Infraestructura</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Comparar parcelas por agua, saneamiento, drenaje, energía y transporte; definir conexiones y mantenimiento</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Equipo técnico, operadores de servicios y condado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Evaluación en meses 0–6; acuerdos antes de obra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Costes de conexión, continuidad prevista y verificación técnica</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Incentivos administrativos</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Solicitar coordinación de trámites e información pública de requisitos, sin eximir controles ni presuponer ventajas fiscales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Promotor, Invest Kenya y condado</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Durante preparación y autorizaciones</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Requisitos documentados, incidencias y tiempos observados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Gestión e impacto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Establecer compras locales, atención al inquilino y evaluación del coste total de residencia</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Promotor-operador y proveedores</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Desde la contratación; revisión tras apertura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Compras locales, mantenimiento, reclamaciones y esfuerzo de pago</w:t>
            </w:r>
          </w:p>
        </w:tc>
      </w:tr>
    </w:tbl>
    <w:p>
      <w:pPr>
        <w:spacing w:after="0"/>
      </w:pPr>
    </w:p>
    <w:p>
      <w:r>
        <w:t>La carta de servicios del condado distingue aprobación de planos, inspecciones y certificado de ocupación. Cada función exige una comprobación distinta. La presentación de un expediente no sustituye las autorizaciones correspondientes; tampoco asegura que se cumplan los tiempos administrativos anunciados (Nairobi City County Government, 2025).</w:t>
      </w:r>
    </w:p>
    <w:p>
      <w:pPr>
        <w:pStyle w:val="Heading2"/>
      </w:pPr>
      <w:r>
        <w:t>6.4. Financiación, ejecución y condiciones para avanzar</w:t>
      </w:r>
    </w:p>
    <w:p>
      <w:r>
        <w:t>Antes de comprometer la construcción, el promotor deberá comparar ingresos de alquiler razonablemente sustentados con suelo, obra, financiación, mantenimiento, seguros, gestión y vacancia. La evaluación debe incluir menor ocupación, retrasos de entrega y aumento de costes. Si existen costes o deuda en divisas frente a alquileres en chelines, deberá explicarse cómo se limita ese desajuste. No se presupone disponibilidad de cobertura ni financiación concesional.</w:t>
      </w:r>
    </w:p>
    <w:p>
      <w:r>
        <w:t>Se recomienda avanzar por decisiones sucesivas: primero, demanda y parcelas; después, diseño, costes y permisos; finalmente, financiación y contratación. Cada fase debe tener una salida posible si el proyecto no alcanza sus condiciones mínimas. El acceso a servicios y la capacidad de pago serán condiciones de aprobación, no mejoras aplazadas hasta después de comercializar.</w:t>
      </w:r>
    </w:p>
    <w:p>
      <w:r>
        <w:t>Las restricciones presupuestarias del país justifican priorizar la coordinación administrativa frente a exenciones fiscales generales. Cualquier apoyo adicional tendría que identificar fundamento legal, coste y beneficiarios. La formación o una mejora ambiental solo justificarían apoyo si sus resultados son verificables y no se limitan a compromisos de marketing.</w:t>
      </w:r>
    </w:p>
    <w:p>
      <w:r>
        <w:t>El seguimiento combinará ocupación y cobro con calidad del servicio, resolución de reclamaciones y coste total para los residentes. Las metas se fijarán cuando exista línea de base. Se evaluará también si la actuación desplaza a ocupantes o actividades existentes: una mejora del inmueble que expulse al público al que se pretende atender contradiría la justificación del proyecto.</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keepLines/>
        <w:spacing w:line="288" w:lineRule="auto"/>
        <w:ind w:left="720" w:hanging="720"/>
      </w:pPr>
      <w:r>
        <w:rPr>
          <w:sz w:val="21"/>
        </w:rPr>
        <w:t xml:space="preserve">Acemoglu, D., &amp; Robinson, J. A. (2012). </w:t>
      </w:r>
      <w:r>
        <w:rPr>
          <w:i/>
          <w:sz w:val="21"/>
        </w:rPr>
        <w:t>Why nations fail: The origins of power, prosperity, and poverty</w:t>
      </w:r>
      <w:r>
        <w:rPr>
          <w:sz w:val="21"/>
        </w:rPr>
        <w:t>. Crown. https://www.penguinrandomhouseretail.com/book/?isbn=9780307719218</w:t>
      </w:r>
    </w:p>
    <w:p>
      <w:pPr>
        <w:keepLines/>
        <w:spacing w:line="288" w:lineRule="auto"/>
        <w:ind w:left="720" w:hanging="720"/>
      </w:pPr>
      <w:r>
        <w:rPr>
          <w:sz w:val="21"/>
        </w:rPr>
        <w:t xml:space="preserve">Acorn Holdings (s. f.). </w:t>
      </w:r>
      <w:r>
        <w:rPr>
          <w:i/>
          <w:sz w:val="21"/>
        </w:rPr>
        <w:t>Overview</w:t>
      </w:r>
      <w:r>
        <w:rPr>
          <w:sz w:val="21"/>
        </w:rPr>
        <w:t>. Recuperado el 21 de octubre de 2026, de https://acornholdingsafrica.com/overview/</w:t>
      </w:r>
    </w:p>
    <w:p>
      <w:pPr>
        <w:keepLines/>
        <w:spacing w:line="288" w:lineRule="auto"/>
        <w:ind w:left="720" w:hanging="720"/>
      </w:pPr>
      <w:r>
        <w:rPr>
          <w:sz w:val="21"/>
        </w:rPr>
        <w:t xml:space="preserve">Banco Mundial (2020). </w:t>
      </w:r>
      <w:r>
        <w:rPr>
          <w:i/>
          <w:sz w:val="21"/>
        </w:rPr>
        <w:t>Kenya systematic country diagnostic</w:t>
      </w:r>
      <w:r>
        <w:rPr>
          <w:sz w:val="21"/>
        </w:rPr>
        <w:t>. https://documents1.worldbank.org/curated/en/531731600090213005/pdf/kenya-systematic-country-diagnostic.pdf</w:t>
      </w:r>
    </w:p>
    <w:p>
      <w:pPr>
        <w:keepLines/>
        <w:spacing w:line="288" w:lineRule="auto"/>
        <w:ind w:left="720" w:hanging="720"/>
      </w:pPr>
      <w:r>
        <w:rPr>
          <w:sz w:val="21"/>
        </w:rPr>
        <w:t xml:space="preserve">Banco Mundial (2024, 10 de diciembre). </w:t>
      </w:r>
      <w:r>
        <w:rPr>
          <w:i/>
          <w:sz w:val="21"/>
        </w:rPr>
        <w:t>Reforms are needed to stem a slow-down in Kenya’s economic growth</w:t>
      </w:r>
      <w:r>
        <w:rPr>
          <w:sz w:val="21"/>
        </w:rPr>
        <w:t>. https://www.worldbank.org/en/news/press-release/2024/12/10/reforms-are-needed-to-stem-a-slow-down-in-afe-kenya-s-economic-growth</w:t>
      </w:r>
    </w:p>
    <w:p>
      <w:pPr>
        <w:keepLines/>
        <w:spacing w:line="288" w:lineRule="auto"/>
        <w:ind w:left="720" w:hanging="720"/>
      </w:pPr>
      <w:r>
        <w:rPr>
          <w:sz w:val="21"/>
        </w:rPr>
        <w:t xml:space="preserve">Banco Mundial (2025). </w:t>
      </w:r>
      <w:r>
        <w:rPr>
          <w:i/>
          <w:sz w:val="21"/>
        </w:rPr>
        <w:t>Kenya economic update 32: From barriers to bridges—Procompetitive reforms for productivity and jobs in Kenya</w:t>
      </w:r>
      <w:r>
        <w:rPr>
          <w:sz w:val="21"/>
        </w:rPr>
        <w:t>. https://documents1.worldbank.org/curated/en/099112125062524216/pdf/P507067-4f692fc7-8081-4630-9dd2-d3768ce9defc.pdf</w:t>
      </w:r>
    </w:p>
    <w:p>
      <w:pPr>
        <w:keepLines/>
        <w:spacing w:line="288" w:lineRule="auto"/>
        <w:ind w:left="720" w:hanging="720"/>
      </w:pPr>
      <w:r>
        <w:rPr>
          <w:sz w:val="21"/>
        </w:rPr>
        <w:t xml:space="preserve">Central Bank of Kenya (s. f.). </w:t>
      </w:r>
      <w:r>
        <w:rPr>
          <w:i/>
          <w:sz w:val="21"/>
        </w:rPr>
        <w:t>Annual GDP</w:t>
      </w:r>
      <w:r>
        <w:rPr>
          <w:sz w:val="21"/>
        </w:rPr>
        <w:t>. Recuperado el 21 de octubre de 2026, de https://www.centralbank.go.ke/annual-gdp/</w:t>
      </w:r>
    </w:p>
    <w:p>
      <w:pPr>
        <w:keepLines/>
        <w:spacing w:line="288" w:lineRule="auto"/>
        <w:ind w:left="720" w:hanging="720"/>
      </w:pPr>
      <w:r>
        <w:rPr>
          <w:sz w:val="21"/>
        </w:rPr>
        <w:t xml:space="preserve">Centric Africa Ltd. (2025). </w:t>
      </w:r>
      <w:r>
        <w:rPr>
          <w:i/>
          <w:sz w:val="21"/>
        </w:rPr>
        <w:t>Environmental and social impact assessment study report for the proposed Riruta Keza IHS housing developments</w:t>
      </w:r>
      <w:r>
        <w:rPr>
          <w:sz w:val="21"/>
        </w:rPr>
        <w:t>. National Environment Management Authority. https://nema.go.ke/wp-content/uploads/2025/12/IHS-Riruta-Housing_00288-min.pdf</w:t>
      </w:r>
    </w:p>
    <w:p>
      <w:pPr>
        <w:keepLines/>
        <w:spacing w:line="288" w:lineRule="auto"/>
        <w:ind w:left="720" w:hanging="720"/>
      </w:pPr>
      <w:r>
        <w:rPr>
          <w:i/>
          <w:sz w:val="21"/>
        </w:rPr>
        <w:t>Constitution of Kenya</w:t>
      </w:r>
      <w:r>
        <w:rPr>
          <w:sz w:val="21"/>
        </w:rPr>
        <w:t>, art. 65 (2010). Kenya Law Reform Commission. https://www.klrc.go.ke/index.php/constitution-of-kenya/116-chapter-five-land-and-environment/117-part-1-land/232-65-landholding-by-non-citizens</w:t>
      </w:r>
    </w:p>
    <w:p>
      <w:pPr>
        <w:keepLines/>
        <w:spacing w:line="288" w:lineRule="auto"/>
        <w:ind w:left="720" w:hanging="720"/>
      </w:pPr>
      <w:r>
        <w:rPr>
          <w:sz w:val="21"/>
        </w:rPr>
        <w:t xml:space="preserve">East African Community (s. f.). </w:t>
      </w:r>
      <w:r>
        <w:rPr>
          <w:i/>
          <w:sz w:val="21"/>
        </w:rPr>
        <w:t>EAC at a glance</w:t>
      </w:r>
      <w:r>
        <w:rPr>
          <w:sz w:val="21"/>
        </w:rPr>
        <w:t>. Recuperado el 21 de octubre de 2026, de https://www.eac.int/component/content/?Itemid=89</w:t>
      </w:r>
    </w:p>
    <w:p>
      <w:pPr>
        <w:keepLines/>
        <w:spacing w:line="288" w:lineRule="auto"/>
        <w:ind w:left="720" w:hanging="720"/>
      </w:pPr>
      <w:r>
        <w:rPr>
          <w:sz w:val="21"/>
        </w:rPr>
        <w:t xml:space="preserve">Freedom House (2026). </w:t>
      </w:r>
      <w:r>
        <w:rPr>
          <w:i/>
          <w:sz w:val="21"/>
        </w:rPr>
        <w:t>Freedom in the world 2026: Kenya</w:t>
      </w:r>
      <w:r>
        <w:rPr>
          <w:sz w:val="21"/>
        </w:rPr>
        <w:t>. https://freedomhouse.org/country/kenya/freedom-world/2026</w:t>
      </w:r>
    </w:p>
    <w:p>
      <w:pPr>
        <w:keepLines/>
        <w:spacing w:line="288" w:lineRule="auto"/>
        <w:ind w:left="720" w:hanging="720"/>
      </w:pPr>
      <w:r>
        <w:rPr>
          <w:sz w:val="21"/>
        </w:rPr>
        <w:t xml:space="preserve">Gamba, P., &amp; Kibaara, B. (2007). </w:t>
      </w:r>
      <w:r>
        <w:rPr>
          <w:i/>
          <w:sz w:val="21"/>
        </w:rPr>
        <w:t>Structural implications of economic liberalization on agriculture and rural development: RuralStruc program, phase I</w:t>
      </w:r>
      <w:r>
        <w:rPr>
          <w:sz w:val="21"/>
        </w:rPr>
        <w:t>. Egerton University, Tegemeo Institute. https://documents1.worldbank.org/curated/en/886221468048846460/pdf/779820WP0KENYA00Box377319B00PUBLIC0.pdf</w:t>
      </w:r>
    </w:p>
    <w:p>
      <w:pPr>
        <w:keepLines/>
        <w:spacing w:line="288" w:lineRule="auto"/>
        <w:ind w:left="720" w:hanging="720"/>
      </w:pPr>
      <w:r>
        <w:rPr>
          <w:sz w:val="21"/>
        </w:rPr>
        <w:t xml:space="preserve">InfoTradeKenya (s. f.). </w:t>
      </w:r>
      <w:r>
        <w:rPr>
          <w:i/>
          <w:sz w:val="21"/>
        </w:rPr>
        <w:t>AfCFTA market requirements</w:t>
      </w:r>
      <w:r>
        <w:rPr>
          <w:sz w:val="21"/>
        </w:rPr>
        <w:t>. Recuperado el 21 de octubre de 2026, de https://infotradekenya.go.ke/menu/895</w:t>
      </w:r>
    </w:p>
    <w:p>
      <w:pPr>
        <w:keepLines/>
        <w:spacing w:line="288" w:lineRule="auto"/>
        <w:ind w:left="720" w:hanging="720"/>
      </w:pPr>
      <w:r>
        <w:rPr>
          <w:sz w:val="21"/>
        </w:rPr>
        <w:t xml:space="preserve">International Finance Corporation (2024). </w:t>
      </w:r>
      <w:r>
        <w:rPr>
          <w:i/>
          <w:sz w:val="21"/>
        </w:rPr>
        <w:t>IHS Kenya: Environmental and social review summary (Project 47136)</w:t>
      </w:r>
      <w:r>
        <w:rPr>
          <w:sz w:val="21"/>
        </w:rPr>
        <w:t>. https://disclosures.ifc.org/project-detail/ESRS/47136/co</w:t>
      </w:r>
    </w:p>
    <w:p>
      <w:pPr>
        <w:keepLines/>
        <w:spacing w:line="288" w:lineRule="auto"/>
        <w:ind w:left="720" w:hanging="720"/>
      </w:pPr>
      <w:r>
        <w:rPr>
          <w:sz w:val="21"/>
        </w:rPr>
        <w:t xml:space="preserve">Kenya National Bureau of Statistics (2025). </w:t>
      </w:r>
      <w:r>
        <w:rPr>
          <w:i/>
          <w:sz w:val="21"/>
        </w:rPr>
        <w:t>Gross County Product 2025</w:t>
      </w:r>
      <w:r>
        <w:rPr>
          <w:sz w:val="21"/>
        </w:rPr>
        <w:t>. https://www.knbs.or.ke/wp-content/uploads/2025/12/2025-Gross-County-Product.pdf</w:t>
      </w:r>
    </w:p>
    <w:p>
      <w:pPr>
        <w:keepLines/>
        <w:spacing w:line="288" w:lineRule="auto"/>
        <w:ind w:left="720" w:hanging="720"/>
      </w:pPr>
      <w:r>
        <w:rPr>
          <w:sz w:val="21"/>
        </w:rPr>
        <w:t xml:space="preserve">Kenya National Bureau of Statistics (2026). </w:t>
      </w:r>
      <w:r>
        <w:rPr>
          <w:i/>
          <w:sz w:val="21"/>
        </w:rPr>
        <w:t>Economic Survey 2026</w:t>
      </w:r>
      <w:r>
        <w:rPr>
          <w:sz w:val="21"/>
        </w:rPr>
        <w:t>. https://www.knbs.or.ke/reports/2026-economic-survey/</w:t>
      </w:r>
    </w:p>
    <w:p>
      <w:pPr>
        <w:keepLines/>
        <w:spacing w:line="288" w:lineRule="auto"/>
        <w:ind w:left="720" w:hanging="720"/>
      </w:pPr>
      <w:r>
        <w:rPr>
          <w:i/>
          <w:sz w:val="21"/>
        </w:rPr>
        <w:t>Kenya national human development report 2006: Human security and human development—A deliberate choice</w:t>
      </w:r>
      <w:r>
        <w:rPr>
          <w:sz w:val="21"/>
        </w:rPr>
        <w:t>. (2006). https://hdr.undp.org/system/files/documents/kenya2006en.pdf</w:t>
      </w:r>
    </w:p>
    <w:p>
      <w:pPr>
        <w:keepLines/>
        <w:spacing w:line="288" w:lineRule="auto"/>
        <w:ind w:left="720" w:hanging="720"/>
      </w:pPr>
      <w:r>
        <w:rPr>
          <w:sz w:val="21"/>
        </w:rPr>
        <w:t xml:space="preserve">Nairobi City County Government (2025, junio). </w:t>
      </w:r>
      <w:r>
        <w:rPr>
          <w:i/>
          <w:sz w:val="21"/>
        </w:rPr>
        <w:t>Customer service charter</w:t>
      </w:r>
      <w:r>
        <w:rPr>
          <w:sz w:val="21"/>
        </w:rPr>
        <w:t>. https://nairobi.go.ke/wp-content/uploads/NCCG_Service_Charter_2025.pdf</w:t>
      </w:r>
    </w:p>
    <w:p>
      <w:pPr>
        <w:keepLines/>
        <w:spacing w:line="288" w:lineRule="auto"/>
        <w:ind w:left="720" w:hanging="720"/>
      </w:pPr>
      <w:r>
        <w:rPr>
          <w:sz w:val="21"/>
        </w:rPr>
        <w:t xml:space="preserve">National Council for Population and Development (2025, 12 de marzo). </w:t>
      </w:r>
      <w:r>
        <w:rPr>
          <w:i/>
          <w:sz w:val="21"/>
        </w:rPr>
        <w:t>Press release</w:t>
      </w:r>
      <w:r>
        <w:rPr>
          <w:sz w:val="21"/>
        </w:rPr>
        <w:t>. https://ncpd.go.ke/2025/03/12/press-release/</w:t>
      </w:r>
    </w:p>
    <w:p>
      <w:pPr>
        <w:keepLines/>
        <w:spacing w:line="288" w:lineRule="auto"/>
        <w:ind w:left="720" w:hanging="720"/>
      </w:pPr>
      <w:r>
        <w:rPr>
          <w:sz w:val="21"/>
        </w:rPr>
        <w:t xml:space="preserve">Private Infrastructure Development Group (2025, 17 de noviembre). </w:t>
      </w:r>
      <w:r>
        <w:rPr>
          <w:i/>
          <w:sz w:val="21"/>
        </w:rPr>
        <w:t>PIDG anchors Acorn’s new REIT to finance affordable housing for Kenya’s young urbanites</w:t>
      </w:r>
      <w:r>
        <w:rPr>
          <w:sz w:val="21"/>
        </w:rPr>
        <w:t>. https://pidg.org/pidg-anchors-acorns-new-reit-to-finance-affordable-housing-for-kenyas-young-urbanites/</w:t>
      </w:r>
    </w:p>
    <w:p>
      <w:pPr>
        <w:keepLines/>
        <w:spacing w:line="288" w:lineRule="auto"/>
        <w:ind w:left="720" w:hanging="720"/>
      </w:pPr>
      <w:r>
        <w:rPr>
          <w:sz w:val="21"/>
        </w:rPr>
        <w:t xml:space="preserve">Robinson, H. J., Mwangi, B., &amp; Atkinson, B. (2025, 24 de febrero). </w:t>
      </w:r>
      <w:r>
        <w:rPr>
          <w:i/>
          <w:sz w:val="21"/>
        </w:rPr>
        <w:t>Understanding the tenants of Fusion Capital’s rental properties in Nairobi, Kenya</w:t>
      </w:r>
      <w:r>
        <w:rPr>
          <w:sz w:val="21"/>
        </w:rPr>
        <w:t>. Reall. https://reall.net/blog/understanding-the-tenants-of-fusion-capitals-rental-properties-in-nairobi-kenya/</w:t>
      </w:r>
    </w:p>
    <w:p>
      <w:pPr>
        <w:keepLines/>
        <w:spacing w:line="288" w:lineRule="auto"/>
        <w:ind w:left="720" w:hanging="720"/>
      </w:pPr>
      <w:r>
        <w:rPr>
          <w:sz w:val="21"/>
        </w:rPr>
        <w:t xml:space="preserve">Shah, S., Zamara, &amp; Centre for Affordable Housing Finance in Africa (2026, 19 de mayo). </w:t>
      </w:r>
      <w:r>
        <w:rPr>
          <w:i/>
          <w:sz w:val="21"/>
        </w:rPr>
        <w:t>Affordable housing access for Kenya’s formal workforce: What pension data reveals and what can work</w:t>
      </w:r>
      <w:r>
        <w:rPr>
          <w:sz w:val="21"/>
        </w:rPr>
        <w:t>. FSD Kenya. https://www.fsdkenya.org/blogs-publications/publications/affordable-housing-access-for-kenyas-formal-workforce-what-pension-data-reveals-and-what-can-work/</w:t>
      </w:r>
    </w:p>
    <w:p>
      <w:pPr>
        <w:keepLines/>
        <w:spacing w:line="288" w:lineRule="auto"/>
        <w:ind w:left="720" w:hanging="720"/>
      </w:pPr>
      <w:r>
        <w:rPr>
          <w:sz w:val="21"/>
        </w:rPr>
        <w:t xml:space="preserve">The National Treasury (2025). </w:t>
      </w:r>
      <w:r>
        <w:rPr>
          <w:i/>
          <w:sz w:val="21"/>
        </w:rPr>
        <w:t>Budget review and outlook paper</w:t>
      </w:r>
      <w:r>
        <w:rPr>
          <w:sz w:val="21"/>
        </w:rPr>
        <w:t>. https://www.treasury.go.ke/wp-content/uploads/2025/10/2025-Budget-Review-and-Outlook-Paper.pdf</w:t>
      </w:r>
    </w:p>
    <w:p>
      <w:pPr>
        <w:keepLines/>
        <w:spacing w:line="288" w:lineRule="auto"/>
        <w:ind w:left="720" w:hanging="720"/>
      </w:pPr>
      <w:r>
        <w:rPr>
          <w:sz w:val="21"/>
        </w:rPr>
        <w:t xml:space="preserve">UNCTAD (2025a). </w:t>
      </w:r>
      <w:r>
        <w:rPr>
          <w:i/>
          <w:sz w:val="21"/>
        </w:rPr>
        <w:t>COMESA investment report 2025: Investment trends and policy insights</w:t>
      </w:r>
      <w:r>
        <w:rPr>
          <w:sz w:val="21"/>
        </w:rPr>
        <w:t>. https://unctad.org/system/files/official-document/diae2025d2_en.pdf</w:t>
      </w:r>
    </w:p>
    <w:p>
      <w:pPr>
        <w:keepLines/>
        <w:spacing w:line="288" w:lineRule="auto"/>
        <w:ind w:left="720" w:hanging="720"/>
      </w:pPr>
      <w:r>
        <w:rPr>
          <w:sz w:val="21"/>
        </w:rPr>
        <w:t xml:space="preserve">UNCTAD (2025b). </w:t>
      </w:r>
      <w:r>
        <w:rPr>
          <w:i/>
          <w:sz w:val="21"/>
        </w:rPr>
        <w:t>World investment report 2025: Country fact sheet—Kenya</w:t>
      </w:r>
      <w:r>
        <w:rPr>
          <w:sz w:val="21"/>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