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rPr>
          <w:i w:val="0"/>
        </w:rP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El marco de instituciones inclusivas y extractivas de Acemoglu y Robinson permitirá examinar quién accede a esas oportunidades y cómo se distribuyen los beneficios.</w:t>
      </w:r>
    </w:p>
    <w:p>
      <w:pPr>
        <w:pStyle w:val="Heading1"/>
      </w:pPr>
      <w:r>
        <w:t>2. Características del mercado e integración regional</w:t>
      </w:r>
    </w:p>
    <w:p>
      <w:r>
        <w:t>Kenia es un mercado de 53,3 millones de habitantes según la proyección demográfica nacional para 2025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w:t>
      </w:r>
    </w:p>
    <w:p>
      <w:r>
        <w:rPr>
          <w:i w:val="0"/>
        </w:rPr>
        <w:t>El PIB real de Kenia creció un 4,6 % en 2025, frente al 4,7 % de 2024 (Kenya National Bureau of Statistics, 2026). El Banco Central de Kenia reproduce estas cifras en su serie de PIB anual (Central Bank of Kenya, s. f.; Kenya National Bureau of Statistics, 2026).</w:t>
      </w:r>
    </w:p>
    <w:p>
      <w:r>
        <w:rPr>
          <w:i w:val="0"/>
        </w:rPr>
        <w:t>Nairobi es la ciudad-condado que más valor añadido genera en el país, lo que refleja la concentración territorial de actividad económica (Kenya National Bureau of Statistics, 2025).</w:t>
      </w:r>
    </w:p>
    <w:p>
      <w:r>
        <w:rPr>
          <w:i w:val="0"/>
        </w:rPr>
        <w:t>La mayor parte del empleo creado en 2025 se concentró en el sector informal. La estadística excluye la pequeña agricultura rural y las actividades pastoriles y se refiere al país, no específicamente a Nairobi (Kenya National Bureau of Statistics, 2026).</w:t>
      </w:r>
    </w:p>
    <w:p>
      <w:r>
        <w:t>El predominio del empleo informal entre los nuevos puestos de trabajo plantea una cuestión institucional: hasta qué punto las oportunidades de producir y trabajar van acompañadas de acceso a financiación, protección jurídica y protección social. Desde Acemoglu y Robinson (2012), el crecimiento es más inclusivo cuando amplía esas oportunidades a distintos grupos. El dato de informalidad muestra que crecimiento y formalización no avanzan necesariamente juntos, pero no identifica por sí solo qué barreras explican esa situación ni demuestra que toda actividad informal sea extractiva.</w:t>
      </w:r>
    </w:p>
    <w:p>
      <w:r>
        <w:rPr>
          <w:i w:val="0"/>
        </w:rPr>
        <w:t>La Comunidad de África Oriental reúne actualmente ocho Estados. Somalia se incorporó como miembro pleno en marzo de 2024. Este marco de cooperación económica ofrece posibilidades de actividad empresarial, inversión y movilidad (East African Community, s. f.).</w:t>
      </w:r>
    </w:p>
    <w:p>
      <w:pPr>
        <w:pStyle w:val="Heading1"/>
      </w:pPr>
      <w:r>
        <w:t>3. Activos productivos y condiciones para invertir</w:t>
      </w:r>
    </w:p>
    <w:p>
      <w:r>
        <w:rPr>
          <w:i w:val="0"/>
        </w:rPr>
        <w:t>M-Pesa ilustra el uso de telefonía móvil para transferir dinero, aunque el acceso a estos servicios presenta desigualdades (Banco Mundial, 2020).</w:t>
      </w:r>
    </w:p>
    <w:p>
      <w:r>
        <w:rPr>
          <w:i w:val="0"/>
        </w:rPr>
        <w:t>El contexto de inversión debe distinguir flujos anuales y capital acumulado. Las entradas de inversión extranjera directa en Kenia alcanzaron 1.503 millones de dólares en 2024, cifra redondeada a 1.500 millones en otra publicación del mismo organismo (United Nations Conference on Trade and Development [UNCTAD], 2025a, 2025b). Se trata de flujos nacionales.</w:t>
      </w:r>
    </w:p>
    <w:p>
      <w:r>
        <w:rPr>
          <w:i w:val="0"/>
        </w:rPr>
        <w:t>La Constitución establece en su artículo 65 que las personas no ciudadanas pueden disponer de suelo mediante leasehold por un máximo de 99 años, y define cuándo una sociedad se considera ciudadana a estos efectos (Constitution of Kenya, 2010).</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r>
        <w:t>Desde el marco de Acemoglu y Robinson (2012), la independencia debe analizarse también como una posible transformación de las reglas de acceso a la tierra y al poder. La expansión de pequeños productores descrita en el informe permite preguntar si más personas pudieron participar en la actividad económica o si persistieron ventajas para quienes ya controlaban los recursos. El cambio de soberanía no basta para demostrar inclusión: habría que comprobar cómo se distribuyeron los derechos y las oportunidades. La información reunida permite plantear esta interpretación, pero no medir cuánto poder conservaron los distintos grupos tras la independencia.</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t>, 2006).</w:t>
      </w:r>
    </w:p>
    <w:p>
      <w:r>
        <w:t>Acemoglu y Robinson (2012) permiten distinguir entre aumentar la participación privada y ampliar la participación económica. Aplicado a las privatizaciones y la liberalización descritas, el criterio es si nuevos productores y empresas pudieron competir o si las oportunidades se concentraron en actores con recursos y contactos. Por eso, la valoración de las reformas debe combinar sus resultados económicos con el acceso a servicios y las posibilidades de entrada al mercado; privatizar, por sí solo, no demuestra que las instituciones sean inclusivas.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rPr>
          <w:i w:val="0"/>
        </w:rPr>
        <w:t>El desarrollo de pagos móviles añade una dimensión institucional: una innovación puede reducir obstáculos para operar en la economía. Sin embargo, extender los medios de pago no distribuye automáticamente la productividad ni elimina las diferencias territoriales.</w:t>
      </w:r>
    </w:p>
    <w:p>
      <w:r>
        <w:t>El caso de M-Pesa puede interpretarse, desde Acemoglu y Robinson (2012), como una herramienta que reduce barreras para realizar transacciones y participar en la economía. Sin embargo, las desigualdades de acceso señaladas impiden equiparar innovación con inclusión generalizada. La pregunta institucional es quién puede utilizar esa herramienta y convertirla en oportunidades productivas, no únicamente cuánto crecen los servicios digitales.</w:t>
      </w:r>
    </w:p>
    <w:p>
      <w:pPr>
        <w:pStyle w:val="Heading2"/>
      </w:pPr>
      <w:r>
        <w:t>4.4. Pandemia, recuperación y restricciones recientes</w:t>
      </w:r>
    </w:p>
    <w:p>
      <w:r>
        <w:t>La pandemia mostró la vulnerabilidad de los ingresos y la diferencia entre actividad agregada y bienestar. El PIB real se contrajo un 0,3 % en 2020 y creció un 7,6 % en 2021 (Central Bank of Kenya, s. f.; Kenya National Bureau of Statistics, 2026). El repunte reflejó reapertura y recuperación sectorial, por lo que no debe extrapolarse como ritmo permanente (Central Bank of Kenya, s. f.; Kenya National Bureau of Statistics, 2026).</w:t>
      </w:r>
    </w:p>
    <w:p>
      <w:r>
        <w:rPr>
          <w:i w:val="0"/>
        </w:rPr>
        <w:t>Las inundaciones de 2024 afectaron a medios de vida, especialmente urbanos, y limitaron el consumo, lo que muestra la exposición de la economía a los shocks climáticos (Banco Mundial, 2024).</w:t>
      </w:r>
    </w:p>
    <w:p>
      <w:r>
        <w:rPr>
          <w:i w:val="0"/>
        </w:rP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Este endeudamiento limita el margen de actuación del sector público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(2012), desarrollado en </w:t>
      </w:r>
      <w:r>
        <w:rPr>
          <w:i/>
        </w:rPr>
        <w:t>Why nations fail</w:t>
      </w:r>
      <w:r>
        <w:t>,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rPr>
          <w:i w:val="0"/>
        </w:rPr>
        <w:t>Freedom House considera al país parcialmente libre en su edición de 2026 y describe elecciones competitivas junto con problemas de corrupción y actuación de las fuerzas de seguridad. Es una evaluación de derechos y libertades. Sirve para cuestionar la equivalencia entre dinamismo económico y calidad institucional (Freedom House, 2026).</w:t>
      </w:r>
    </w:p>
    <w:p>
      <w:r>
        <w:t>La concentración de valor añadido en Nairobi también invita a examinar la distribución territorial de las oportunidades. Desde Acemoglu y Robinson (2012), la descentralización del poder —devolution— puede ampliar la participación y la rendición de cuentas si facilita que la población controle las decisiones locales; también puede reproducir concentraciones de poder si las decisiones quedan en manos de grupos reducidos. Este es un criterio para evaluar la descentralización, no un resultado demostrado para Kenia: la concentración económica en la capital y la información institucional reunida no permiten concluir si la distribución territorial del poder ha reducido la captura de recursos o las desigualdades.</w:t>
      </w:r>
    </w:p>
    <w:p>
      <w:r>
        <w:rPr>
          <w:i w:val="0"/>
        </w:rPr>
        <w:t>El DAFO recoge la tensión entre capacidades empresariales y restricciones de ingresos, servicios y gobernanza.</w:t>
      </w:r>
    </w:p>
    <w:p>
      <w:pPr>
        <w:pStyle w:val="Heading1"/>
      </w:pPr>
      <w:r>
        <w:t>5. DAFO de la economía de Kenia</w:t>
      </w:r>
    </w:p>
    <w:p>
      <w:r>
        <w:rPr>
          <w:i w:val="0"/>
        </w:rPr>
        <w:t>Este DAFO recoge el análisis previo sobre la economía de Kenia.</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Plan de acción final: inversión en vivienda de alquiler en Nairobi</w:t>
      </w:r>
    </w:p>
    <w:p>
      <w:pPr>
        <w:pStyle w:val="Heading2"/>
      </w:pPr>
      <w:r>
        <w:t>6.1. Propuesta de atracción de inversión</w:t>
      </w:r>
    </w:p>
    <w:p>
      <w:r>
        <w:t>La apuesta de este trabajo es atraer inversión de largo plazo para construir y gestionar viviendas de alquiler en Nairobi, con Riruta como zona inicial de estudio. El producto combinaría estudios y viviendas de un dormitorio destinados a hogares pequeños de trabajadores con ingresos documentables, incluidos autónomos. La propuesta aprovecha tres fortalezas del DAFO: la concentración de actividad empresarial en Nairobi, la experiencia en servicios y pagos digitales y la capacidad de atraer capital extranjero. La oportunidad consiste en reunir esas capacidades en una oferta de alquiler con mantenimiento y atención al residente gestionados profesionalmente.</w:t>
      </w:r>
    </w:p>
    <w:p>
      <w:r>
        <w:t>Se elige este sector frente a la vivienda para venta, las oficinas y el alojamiento turístico porque permite vincular la inversión con una necesidad residencial de trabajadores sin exigirles una compra ni una hipoteca. No se sostiene que sea el sector más rentable de Kenia: se defiende que es el que mejor conecta el objetivo social del trabajo con las capacidades empresariales documentadas. El hueco que se propone investigar es el de hogares que necesitan vivienda estable, pero no quieren o no pueden comprar. Su tamaño y su capacidad de pago deberán comprobarse antes de construir.</w:t>
      </w:r>
    </w:p>
    <w:p>
      <w:r>
        <w:t>Riruta ofrece un punto de partida concreto porque cuenta con actuaciones residenciales documentadas. Un estudio ambiental sitúa el proyecto Keza–IHS en Ndwaru Road, Dagoretti South, y señala necesidades de seguridad peatonal (Centric Africa Ltd., 2025). Este antecedente justifica estudiar competencia, accesos y servicios en la zona; no demuestra que haya una parcela disponible ni que la demanda de otra promoción sea trasladable a la propuesta.</w:t>
      </w:r>
    </w:p>
    <w:p>
      <w:r>
        <w:t>El inversor prioritario sería un fondo de capital de largo plazo especializado en vivienda, asociado con un promotor y gestor local. La inversión se canalizaría mediante una participación en la sociedad propietaria de las viviendas, manteniendo la propiedad y la gestión unificadas. Si el capital procede del extranjero, su clasificación como inversión extranjera directa dependerá de las características de la participación. Se priorizará una estructura financiera compatible con ingresos en chelines, para limitar el riesgo de pagar deuda en divisas con alquileres en moneda local.</w:t>
      </w:r>
    </w:p>
    <w:p>
      <w:r>
        <w:t>El argumento de Kenia frente a una nueva implantación en Kampala o Kigali es la posibilidad de trabajar con empresas que ya cuentan con experiencia documentada en el mercado keniano. Esta base permite concentrar recursos en seleccionar la parcela, ajustar el producto y captar clientes, en lugar de crear toda la capacidad operativa desde cero. Es una ventaja de ejecución para esta propuesta; la información reunida no permite afirmar que Nairobi ofrezca mayor rentabilidad o menores costes que ambas ciudades.</w:t>
      </w:r>
    </w:p>
    <w:p>
      <w:r>
        <w:t>Las debilidades del DAFO determinan el diseño: la informalidad y las restricciones presupuestarias obligan a estudiar ingresos y gastos reales, y los problemas de gobernanza exigen revisar suelo y permisos. La existencia de ingresos recurrentes no elimina las dificultades de acceso a vivienda (Shah et al., 2026). Por ello, no se fija todavía una tarifa ni se presenta el producto como asequible para toda la población de bajos ingresos.</w:t>
      </w:r>
    </w:p>
    <w:p>
      <w:pPr>
        <w:pStyle w:val="Heading2"/>
      </w:pPr>
      <w:r>
        <w:t>6.2. Fundamentos y condiciones del proyecto de vivienda</w:t>
      </w:r>
    </w:p>
    <w:p>
      <w:r>
        <w:rPr>
          <w:i w:val="0"/>
        </w:rPr>
        <w:t>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Se elige Acorn Holdings como empresa principal y se compara con IHS y Fusion Capital.</w:t>
      </w:r>
    </w:p>
    <w:p>
      <w:r>
        <w:rPr>
          <w:i w:val="0"/>
        </w:rPr>
        <w:t>Para valorar las implicaciones de este crecimiento sobre la demanda de alquiler en Nairobi, es necesario estudiar los ingresos y la estabilidad laboral de los hogares destinatarios.</w:t>
      </w:r>
    </w:p>
    <w:p>
      <w:r>
        <w:rPr>
          <w:i w:val="0"/>
        </w:rPr>
        <w:t>La concentración de actividad en Nairobi justifica estudiar su mercado residencial. Para diseñar la promoción es necesario identificar qué hogares podrían alquilarla y cómo accederían desde ella a sus centros de trabajo (Kenya National Bureau of Statistics, 2025).</w:t>
      </w:r>
    </w:p>
    <w:p>
      <w:r>
        <w:rPr>
          <w:i w:val="0"/>
        </w:rPr>
        <w:t>El mercado laboral limita el tamaño de la demanda solvente. El crecimiento agregado resulta insuficiente para estimar la estabilidad de los ingresos de los futuros inquilinos (Kenya National Bureau of Statistics, 2026).</w:t>
      </w:r>
    </w:p>
    <w:p>
      <w:r>
        <w:rPr>
          <w:i w:val="0"/>
        </w:rPr>
        <w:t>Para estudiar la capacidad de pago también hay que conocer los gastos y obligaciones del hogar. Se identifican restricciones de acceso a vivienda incluso entre personas vinculadas a fondos de pensiones (Shah et al., 2026). El cliente propuesto será, por ello, un hogar pequeño de trabajadores con ingresos documentables, sin presentar el proyecto como solución para toda la población de bajos ingresos.</w:t>
      </w:r>
    </w:p>
    <w:p>
      <w:r>
        <w:rPr>
          <w:i w:val="0"/>
        </w:rPr>
        <w:t>La relación de la integración regional con el proyecto sería indirecta, a través de actividad empresarial, inversión y movilidad. El mercado residencial de la promoción seguirá siendo local.</w:t>
      </w:r>
    </w:p>
    <w:p>
      <w:r>
        <w:rPr>
          <w:i w:val="0"/>
        </w:rPr>
        <w:t>La experiencia en servicios digitales ofrece herramientas para gestionar el alquiler. Para un operador residencial, los pagos digitales pueden facilitar cobros y registros. Se trata de una posible mejora de gestión aunque la solvencia del inquilino dependerá de sus ingresos y obligaciones.</w:t>
      </w:r>
    </w:p>
    <w:p>
      <w:r>
        <w:rPr>
          <w:i w:val="0"/>
        </w:rP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rPr>
          <w:i w:val="0"/>
        </w:rP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rPr>
          <w:i w:val="0"/>
        </w:rPr>
        <w:t>Las entradas nacionales de inversión extranjera directa no equivalen a recursos disponibles para financiar esta promoción.</w:t>
      </w:r>
    </w:p>
    <w:p>
      <w:r>
        <w:rPr>
          <w:i w:val="0"/>
        </w:rPr>
        <w:t>Antes de adquirir la parcela habrá que comprobar el título, la duración del derecho y la estructura de propiedad de la sociedad inversora (Constitution of Kenya, 2010).</w:t>
      </w:r>
    </w:p>
    <w:p>
      <w:r>
        <w:rPr>
          <w:i w:val="0"/>
        </w:rP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r>
        <w:rPr>
          <w:i w:val="0"/>
        </w:rPr>
        <w:t>Para defender una inversión residencial se necesita comprobar que existen clientes capaces de mantener el alquiler, y que el proyecto no se limita a atender al segmento con mayores ingresos mientras se presenta como respuesta general al problema urbano.</w:t>
      </w:r>
    </w:p>
    <w:p>
      <w:r>
        <w:rPr>
          <w:i w:val="0"/>
        </w:rPr>
        <w:t>Para una promoción de alquiler, drenaje, exposición de la parcela y continuidad de servicios forman parte del análisis económico. Una vivienda físicamente disponible puede ser una mala solución si sus usuarios afrontan interrupciones o costes que no pueden asumir.</w:t>
      </w:r>
    </w:p>
    <w:p>
      <w:r>
        <w:rPr>
          <w:i w:val="0"/>
        </w:rPr>
        <w:t>Las restricciones fiscales aconsejan evitar que la viabilidad del proyecto dependa de incentivos fiscales amplios o de infraestructura pública cuya financiación no se haya identificado (Banco Mundial, 2025; The National Treasury, 2025).</w:t>
      </w:r>
    </w:p>
    <w:p>
      <w:r>
        <w:rPr>
          <w:i w:val="0"/>
        </w:rPr>
        <w:t>La evaluación de derechos y libertades no es una medida directa del riesgo de una promoción ni un sustituto del análisis legal (Freedom House, 2026).</w:t>
      </w:r>
    </w:p>
    <w:p>
      <w:r>
        <w:rPr>
          <w:i w:val="0"/>
        </w:rP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w:t>
      </w:r>
    </w:p>
    <w:p>
      <w:r>
        <w:t>Aplicado a la vivienda, el marco de Acemoglu y Robinson (2012) exige distinguir la seguridad del inversor de la inclusión de los residentes. El límite de 99 años para determinados derechos sobre el suelo regula la posición de los inversores extranjeros, pero no demuestra que los hogares puedan acceder a suelo, crédito o servicios. Las restricciones de acceso a vivienda documentadas incluso entre personas vinculadas a fondos de pensiones refuerzan la necesidad de comprobar quién puede pagar el producto. Por ello, el proyecto deberá verificar contratos comprensibles, acceso efectivo a servicios y coste total de residencia, además del título de la parcela. La inclusión se evaluará por las oportunidades y condiciones de los trabajadores, no solo por el capital captado o el edificio construido.</w:t>
      </w:r>
    </w:p>
    <w:p>
      <w:pPr>
        <w:pStyle w:val="Heading2"/>
      </w:pPr>
      <w:r>
        <w:t>6.3. Empresas objetivo y elección de Acorn Holdings como cabecera</w:t>
      </w:r>
    </w:p>
    <w:p>
      <w:r>
        <w:t>Se seleccionan tres empresas reales por sus capacidades documentadas en vivienda y gestión de capital. Son candidatas a explorar, no inversores que hayan comprometido recursos para este proyecto.</w:t>
      </w:r>
    </w:p>
    <w:p>
      <w:r/>
      <w:r>
        <w:rPr>
          <w:b/>
        </w:rPr>
        <w:t>Acorn Holdings.</w:t>
      </w:r>
      <w:r>
        <w:t xml:space="preserve"> Es la primera opción y la empresa de cabecera. Combina desarrollo, propiedad y gestión de alquiler, y su estrategia contempla ampliar su actividad desde estudiantes hacia jóvenes profesionales y familias (Acorn Holdings, s. f.). Además, se ha anunciado un vehículo de inversión inmobiliaria orientado al alquiler para jóvenes urbanos que han terminado sus estudios (Private Infrastructure Development Group, 2025). Esta orientación encaja con el segmento propuesto mejor que una empresa dedicada exclusivamente a vender viviendas. El anuncio no acredita una promoción de Acorn en Riruta.</w:t>
      </w:r>
    </w:p>
    <w:p>
      <w:r/>
      <w:r>
        <w:rPr>
          <w:b/>
        </w:rPr>
        <w:t>International Housing Solutions.</w:t>
      </w:r>
      <w:r>
        <w:t xml:space="preserve"> Es la segunda candidata por su experiencia en fondos de vivienda y su programa keniano. Su actividad documentada contempla alquiler, venta y alquiler con opción de compra (International Finance Corporation, 2024). Podría aportar capacidad de inversión y relaciones con promotores, pero habría que acordar expresamente que la operación se mantuviera destinada al alquiler de larga duración. Por esta diferencia de modalidades, se sitúa como alternativa a Acorn y no como cabecera preferente.</w:t>
      </w:r>
    </w:p>
    <w:p>
      <w:r/>
      <w:r>
        <w:rPr>
          <w:b/>
        </w:rPr>
        <w:t>Fusion Capital.</w:t>
      </w:r>
      <w:r>
        <w:t xml:space="preserve"> Es la tercera candidata por su experiencia regional en vivienda de alquiler. La información sobre sus inquilinos permite identificar mejoras residenciales junto con dificultades de asequibilidad (Robinson et al., 2025). Su interés para la propuesta reside en esa experiencia operativa y en la posibilidad de contrastar decisiones de calidad y precio. La muestra del estudio no permite estimar la demanda de toda Nairobi ni confirma su interés en financiar una nueva promoción.</w:t>
      </w:r>
    </w:p>
    <w:p>
      <w:r>
        <w:t>La elección de Acorn es una decisión del trabajo basada en información pública, no en una relación personal o profesional con la empresa. Se le asignaría la coordinación del diseño, la contratación, la captación de capital y la gestión posterior. Su valor añadido potencial sería mantener una responsabilidad clara durante todo el ciclo del inmueble, transferir experiencia de gestión y generar empleo y compras locales. La formación, las contrataciones y los proveedores deberán registrarse para comprobar esa aportación.</w:t>
      </w:r>
    </w:p>
    <w:p>
      <w:r>
        <w:t>El mercado objetivo de Acorn serían hogares pequeños que valoren estabilidad residencial, mantenimiento y acceso al empleo. La concentración de actividad en Nairobi y la estrategia empresarial documentada justifican estudiar ese mercado, pero no permiten calcular todavía el número de clientes ni su disposición a pagar. Durante la preparación se compararán alquileres y viviendas alternativas y se consultará a trabajadores, empleadores y organizaciones profesionales. El presupuesto del hogar incluirá alquiler, suministros, depósito y transporte. La experiencia de Acorn en alojamiento estudiantil será un punto de partida de gestión, no una prueba de aceptación por parejas o familias.</w:t>
      </w:r>
    </w:p>
    <w:p>
      <w:r>
        <w:t>La decisión es, por tanto, negociar primero con Acorn y utilizar International Housing Solutions y Fusion Capital como alternativas para contrastar condiciones. No se presupone un consorcio entre las tres. Si el coste total solo permite atender a hogares de mayores ingresos, se revisará el producto y su justificación social antes de aprobar la construcción.</w:t>
      </w:r>
    </w:p>
    <w:p>
      <w:pPr>
        <w:pStyle w:val="Heading2"/>
      </w:pPr>
      <w:r>
        <w:t>6.4. Plan de acción 360º: medidas, responsables y plazos</w:t>
      </w:r>
    </w:p>
    <w:p>
      <w:r>
        <w:t>El plan convierte las debilidades y amenazas del DAFO en actuaciones verificables. Los plazos se cuentan desde el inicio del estudio y son propuestas del trabajo, no compromisos asumidos por empresas o autoridades. Los meses 0–6 se dedicarían a demanda y parcelas; los meses 6–12, al diseño, las autorizaciones y la financiación. El calendario de obra se aprobaría después de completar esas comprobaciones.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sz w:val="16"/>
              </w:rPr>
              <w:t>Palanca</w:t>
            </w:r>
          </w:p>
        </w:tc>
        <w:tc>
          <w:tcPr>
            <w:tcW w:type="dxa" w:w="1863"/>
          </w:tcPr>
          <w:p>
            <w:r>
              <w:rPr>
                <w:b/>
                <w:sz w:val="16"/>
              </w:rPr>
              <w:t>Actuación y relación con el DAFO</w:t>
            </w:r>
          </w:p>
        </w:tc>
        <w:tc>
          <w:tcPr>
            <w:tcW w:type="dxa" w:w="1863"/>
          </w:tcPr>
          <w:p>
            <w:r>
              <w:rPr>
                <w:b/>
                <w:sz w:val="16"/>
              </w:rPr>
              <w:t>Responsable propuesto</w:t>
            </w:r>
          </w:p>
        </w:tc>
        <w:tc>
          <w:tcPr>
            <w:tcW w:type="dxa" w:w="1863"/>
          </w:tcPr>
          <w:p>
            <w:r>
              <w:rPr>
                <w:b/>
                <w:sz w:val="16"/>
              </w:rPr>
              <w:t>Plazo orientativo</w:t>
            </w:r>
          </w:p>
        </w:tc>
        <w:tc>
          <w:tcPr>
            <w:tcW w:type="dxa" w:w="1863"/>
          </w:tcPr>
          <w:p>
            <w:r>
              <w:rPr>
                <w:b/>
                <w:sz w:val="16"/>
              </w:rPr>
              <w:t>Evidencia de cumplimiento</w:t>
            </w:r>
          </w:p>
        </w:tc>
      </w:tr>
      <w:tr>
        <w:tc>
          <w:tcPr>
            <w:tcW w:type="dxa" w:w="1863"/>
          </w:tcPr>
          <w:p>
            <w:r>
              <w:rPr>
                <w:b w:val="0"/>
                <w:sz w:val="16"/>
              </w:rPr>
              <w:t>Formación y capital humano</w:t>
            </w:r>
          </w:p>
        </w:tc>
        <w:tc>
          <w:tcPr>
            <w:tcW w:type="dxa" w:w="1863"/>
          </w:tcPr>
          <w:p>
            <w:r>
              <w:rPr>
                <w:b w:val="0"/>
                <w:sz w:val="16"/>
              </w:rPr>
              <w:t>Identificar puestos de obra, mantenimiento y gestión; acordar formación y prácticas remuneradas con un centro técnico local. Responde a la debilidad del empleo formal.</w:t>
            </w:r>
          </w:p>
        </w:tc>
        <w:tc>
          <w:tcPr>
            <w:tcW w:type="dxa" w:w="1863"/>
          </w:tcPr>
          <w:p>
            <w:r>
              <w:rPr>
                <w:b w:val="0"/>
                <w:sz w:val="16"/>
              </w:rPr>
              <w:t>Acorn como promotor propuesto, contratista y centro técnico seleccionado</w:t>
            </w:r>
          </w:p>
        </w:tc>
        <w:tc>
          <w:tcPr>
            <w:tcW w:type="dxa" w:w="1863"/>
          </w:tcPr>
          <w:p>
            <w:r>
              <w:rPr>
                <w:b w:val="0"/>
                <w:sz w:val="16"/>
              </w:rPr>
              <w:t>Definir perfiles y convenio en meses 0–6; ejecutar durante obra y operación</w:t>
            </w:r>
          </w:p>
        </w:tc>
        <w:tc>
          <w:tcPr>
            <w:tcW w:type="dxa" w:w="1863"/>
          </w:tcPr>
          <w:p>
            <w:r>
              <w:rPr>
                <w:b w:val="0"/>
                <w:sz w:val="16"/>
              </w:rPr>
              <w:t>Convenio firmado; personas formadas y contratadas; seguimiento de continuidad laboral</w:t>
            </w:r>
          </w:p>
        </w:tc>
      </w:tr>
      <w:tr>
        <w:tc>
          <w:tcPr>
            <w:tcW w:type="dxa" w:w="1863"/>
          </w:tcPr>
          <w:p>
            <w:r>
              <w:rPr>
                <w:b w:val="0"/>
                <w:sz w:val="16"/>
              </w:rPr>
              <w:t>Marco legislativo y regulatorio</w:t>
            </w:r>
          </w:p>
        </w:tc>
        <w:tc>
          <w:tcPr>
            <w:tcW w:type="dxa" w:w="1863"/>
          </w:tcPr>
          <w:p>
            <w:r>
              <w:rPr>
                <w:b w:val="0"/>
                <w:sz w:val="16"/>
              </w:rPr>
              <w:t>Revisar título, duración del derecho sobre el suelo, uso permitido y estructura de inversión; elaborar contratos con cargos comprensibles y registrar permisos. Responde a los problemas de seguridad jurídica y gobernanza.</w:t>
            </w:r>
          </w:p>
        </w:tc>
        <w:tc>
          <w:tcPr>
            <w:tcW w:type="dxa" w:w="1863"/>
          </w:tcPr>
          <w:p>
            <w:r>
              <w:rPr>
                <w:b w:val="0"/>
                <w:sz w:val="16"/>
              </w:rPr>
              <w:t>Asesoría jurídica local, sociedad promotora y autoridades competentes del condado de Nairobi</w:t>
            </w:r>
          </w:p>
        </w:tc>
        <w:tc>
          <w:tcPr>
            <w:tcW w:type="dxa" w:w="1863"/>
          </w:tcPr>
          <w:p>
            <w:r>
              <w:rPr>
                <w:b w:val="0"/>
                <w:sz w:val="16"/>
              </w:rPr>
              <w:t>Revisión inicial en meses 0–6; autorizaciones antes de cada fase</w:t>
            </w:r>
          </w:p>
        </w:tc>
        <w:tc>
          <w:tcPr>
            <w:tcW w:type="dxa" w:w="1863"/>
          </w:tcPr>
          <w:p>
            <w:r>
              <w:rPr>
                <w:b w:val="0"/>
                <w:sz w:val="16"/>
              </w:rPr>
              <w:t>Informe jurídico; título y uso comprobados; resoluciones administrativas; contratos revisados</w:t>
            </w:r>
          </w:p>
        </w:tc>
      </w:tr>
      <w:tr>
        <w:tc>
          <w:tcPr>
            <w:tcW w:type="dxa" w:w="1863"/>
          </w:tcPr>
          <w:p>
            <w:r>
              <w:rPr>
                <w:b w:val="0"/>
                <w:sz w:val="16"/>
              </w:rPr>
              <w:t>Infraestructura y clima</w:t>
            </w:r>
          </w:p>
        </w:tc>
        <w:tc>
          <w:tcPr>
            <w:tcW w:type="dxa" w:w="1863"/>
          </w:tcPr>
          <w:p>
            <w:r>
              <w:rPr>
                <w:b w:val="0"/>
                <w:sz w:val="16"/>
              </w:rPr>
              <w:t>Comparar parcelas por agua, saneamiento, drenaje, electricidad, transporte y seguridad peatonal; descartar ubicaciones sin soluciones técnicas y financieras viables. Responde a los riesgos climáticos y a las carencias de servicios.</w:t>
            </w:r>
          </w:p>
        </w:tc>
        <w:tc>
          <w:tcPr>
            <w:tcW w:type="dxa" w:w="1863"/>
          </w:tcPr>
          <w:p>
            <w:r>
              <w:rPr>
                <w:b w:val="0"/>
                <w:sz w:val="16"/>
              </w:rPr>
              <w:t>Equipo técnico de Acorn, operadores de servicios y condado de Nairobi</w:t>
            </w:r>
          </w:p>
        </w:tc>
        <w:tc>
          <w:tcPr>
            <w:tcW w:type="dxa" w:w="1863"/>
          </w:tcPr>
          <w:p>
            <w:r>
              <w:rPr>
                <w:b w:val="0"/>
                <w:sz w:val="16"/>
              </w:rPr>
              <w:t>Evaluación en meses 0–6; soluciones y costes definidos antes de aprobar la obra</w:t>
            </w:r>
          </w:p>
        </w:tc>
        <w:tc>
          <w:tcPr>
            <w:tcW w:type="dxa" w:w="1863"/>
          </w:tcPr>
          <w:p>
            <w:r>
              <w:rPr>
                <w:b w:val="0"/>
                <w:sz w:val="16"/>
              </w:rPr>
              <w:t>Informe de parcela; evaluación de drenaje; costes y condiciones de conexión documentados</w:t>
            </w:r>
          </w:p>
        </w:tc>
      </w:tr>
      <w:tr>
        <w:tc>
          <w:tcPr>
            <w:tcW w:type="dxa" w:w="1863"/>
          </w:tcPr>
          <w:p>
            <w:r>
              <w:rPr>
                <w:b w:val="0"/>
                <w:sz w:val="16"/>
              </w:rPr>
              <w:t>Incentivos administrativos</w:t>
            </w:r>
          </w:p>
        </w:tc>
        <w:tc>
          <w:tcPr>
            <w:tcW w:type="dxa" w:w="1863"/>
          </w:tcPr>
          <w:p>
            <w:r>
              <w:rPr>
                <w:b w:val="0"/>
                <w:sz w:val="16"/>
              </w:rPr>
              <w:t>Solicitar coordinación de trámites e información clara de requisitos y tasas. Se elige esta vía frente a exenciones fiscales generales por las restricciones fiscales del país.</w:t>
            </w:r>
          </w:p>
        </w:tc>
        <w:tc>
          <w:tcPr>
            <w:tcW w:type="dxa" w:w="1863"/>
          </w:tcPr>
          <w:p>
            <w:r>
              <w:rPr>
                <w:b w:val="0"/>
                <w:sz w:val="16"/>
              </w:rPr>
              <w:t>Promotor, Invest Kenya y condado de Nairobi</w:t>
            </w:r>
          </w:p>
        </w:tc>
        <w:tc>
          <w:tcPr>
            <w:tcW w:type="dxa" w:w="1863"/>
          </w:tcPr>
          <w:p>
            <w:r>
              <w:rPr>
                <w:b w:val="0"/>
                <w:sz w:val="16"/>
              </w:rPr>
              <w:t>Iniciar en meses 0–3 y mantener durante las autorizaciones</w:t>
            </w:r>
          </w:p>
        </w:tc>
        <w:tc>
          <w:tcPr>
            <w:tcW w:type="dxa" w:w="1863"/>
          </w:tcPr>
          <w:p>
            <w:r>
              <w:rPr>
                <w:b w:val="0"/>
                <w:sz w:val="16"/>
              </w:rPr>
              <w:t>Registro de requisitos, solicitudes, incidencias y tiempos; coste de tasas identificado</w:t>
            </w:r>
          </w:p>
        </w:tc>
      </w:tr>
      <w:tr>
        <w:tc>
          <w:tcPr>
            <w:tcW w:type="dxa" w:w="1863"/>
          </w:tcPr>
          <w:p>
            <w:r>
              <w:rPr>
                <w:b w:val="0"/>
                <w:sz w:val="16"/>
              </w:rPr>
              <w:t>Financiación y capacidad de pago</w:t>
            </w:r>
          </w:p>
        </w:tc>
        <w:tc>
          <w:tcPr>
            <w:tcW w:type="dxa" w:w="1863"/>
          </w:tcPr>
          <w:p>
            <w:r>
              <w:rPr>
                <w:b w:val="0"/>
                <w:sz w:val="16"/>
              </w:rPr>
              <w:t>Contrastar alquileres previstos con presupuestos de hogares y costes completos; evaluar menor ocupación, aumento de costes y riesgo cambiario. Responde a informalidad, inflación y dificultades de financiación.</w:t>
            </w:r>
          </w:p>
        </w:tc>
        <w:tc>
          <w:tcPr>
            <w:tcW w:type="dxa" w:w="1863"/>
          </w:tcPr>
          <w:p>
            <w:r>
              <w:rPr>
                <w:b w:val="0"/>
                <w:sz w:val="16"/>
              </w:rPr>
              <w:t>Acorn, inversores potenciales y asesoría financiera</w:t>
            </w:r>
          </w:p>
        </w:tc>
        <w:tc>
          <w:tcPr>
            <w:tcW w:type="dxa" w:w="1863"/>
          </w:tcPr>
          <w:p>
            <w:r>
              <w:rPr>
                <w:b w:val="0"/>
                <w:sz w:val="16"/>
              </w:rPr>
              <w:t>Estudio de hogares en meses 0–6; modelo financiero y decisión en meses 6–12</w:t>
            </w:r>
          </w:p>
        </w:tc>
        <w:tc>
          <w:tcPr>
            <w:tcW w:type="dxa" w:w="1863"/>
          </w:tcPr>
          <w:p>
            <w:r>
              <w:rPr>
                <w:b w:val="0"/>
                <w:sz w:val="16"/>
              </w:rPr>
              <w:t>Estudio de demanda; modelo con escenarios; estructura de financiación y condiciones de aprobación documentadas</w:t>
            </w:r>
          </w:p>
        </w:tc>
      </w:tr>
      <w:tr>
        <w:tc>
          <w:tcPr>
            <w:tcW w:type="dxa" w:w="1863"/>
          </w:tcPr>
          <w:p>
            <w:r>
              <w:rPr>
                <w:b w:val="0"/>
                <w:sz w:val="16"/>
              </w:rPr>
              <w:t>Gestión e impacto</w:t>
            </w:r>
          </w:p>
        </w:tc>
        <w:tc>
          <w:tcPr>
            <w:tcW w:type="dxa" w:w="1863"/>
          </w:tcPr>
          <w:p>
            <w:r>
              <w:rPr>
                <w:b w:val="0"/>
                <w:sz w:val="16"/>
              </w:rPr>
              <w:t>Implantar mantenimiento, registro de cobros digitales y canal de reclamaciones; comprobar compras locales, coste de residencia y posibles desplazamientos. Aprovecha capacidades digitales y aborda desigualdad y calidad del servicio.</w:t>
            </w:r>
          </w:p>
        </w:tc>
        <w:tc>
          <w:tcPr>
            <w:tcW w:type="dxa" w:w="1863"/>
          </w:tcPr>
          <w:p>
            <w:r>
              <w:rPr>
                <w:b w:val="0"/>
                <w:sz w:val="16"/>
              </w:rPr>
              <w:t>Promotor-operador y proveedores</w:t>
            </w:r>
          </w:p>
        </w:tc>
        <w:tc>
          <w:tcPr>
            <w:tcW w:type="dxa" w:w="1863"/>
          </w:tcPr>
          <w:p>
            <w:r>
              <w:rPr>
                <w:b w:val="0"/>
                <w:sz w:val="16"/>
              </w:rPr>
              <w:t>Diseñar antes de abrir; revisar trimestralmente durante el primer año de operación</w:t>
            </w:r>
          </w:p>
        </w:tc>
        <w:tc>
          <w:tcPr>
            <w:tcW w:type="dxa" w:w="1863"/>
          </w:tcPr>
          <w:p>
            <w:r>
              <w:rPr>
                <w:b w:val="0"/>
                <w:sz w:val="16"/>
              </w:rPr>
              <w:t>Registros de mantenimiento y reclamaciones; ocupación y cobros; compras locales; seguimiento del esfuerzo de pago</w:t>
            </w:r>
          </w:p>
        </w:tc>
      </w:tr>
    </w:tbl>
    <w:p>
      <w:r>
        <w:t>La coordinación administrativa no sustituye los controles. La aprobación de planos, las inspecciones y el certificado de ocupación son actuaciones distintas y deben verificarse por separado (Nairobi City County Government, 2025). El plan propone mejorar la preparación y el seguimiento de los expedientes; no atribuye al promotor capacidad para cambiar las normas ni garantiza plazos de resolución.</w:t>
      </w:r>
    </w:p>
    <w:p>
      <w:pPr>
        <w:pStyle w:val="Heading2"/>
      </w:pPr>
      <w:r>
        <w:t>6.5. Decisión de inversión y seguimiento</w:t>
      </w:r>
    </w:p>
    <w:p>
      <w:r>
        <w:t>La primera decisión será seleccionar una parcela y un producto compatibles con los ingresos del público objetivo. La segunda será aprobar un diseño con servicios, costes y permisos comprobados. Solo después se negociará el cierre de la financiación y la contratación de la obra. En cada fase se podrá detener o reformular la operación si no cumple las condiciones mínimas.</w:t>
      </w:r>
    </w:p>
    <w:p>
      <w:r>
        <w:t>El modelo financiero incluirá suelo, construcción, financiación, mantenimiento, seguros, gestión y periodos sin ocupación. Se comprobará si el proyecto puede sostenerse con menor ocupación, retrasos y aumentos de costes. Cuando existan obligaciones en divisas, se documentará cómo se limita el desajuste con ingresos en chelines, sin presuponer que haya cobertura disponible.</w:t>
      </w:r>
    </w:p>
    <w:p>
      <w:r>
        <w:t>Antes de aprobar la construcción deberán quedar documentadas la seguridad jurídica de la parcela, la viabilidad de los servicios, una demanda compatible con el coste total de residencia y una financiación identificada. No se contará con exenciones fiscales o infraestructura pública sin respaldo confirmado. Las metas de ocupación, mantenimiento y esfuerzo de pago se fijarán con el estudio inicial y se incorporarán al seguimiento del operador.</w:t>
      </w:r>
    </w:p>
    <w:p>
      <w:r>
        <w:t>La apuesta final es impulsar alquiler de larga duración con Acorn como cabecera, Riruta como zona inicial de estudio y capital asociado a un operador local. El criterio para avanzar será que las capacidades empresariales se traduzcan en una operación sostenible y en mejores condiciones residenciales para los trabajadores. La rentabilidad, el servicio y el impacto sobre los residentes se evaluarán conjuntamente.</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spacing w:line="480" w:lineRule="auto" w:before="0" w:after="0"/>
        <w:ind w:left="720" w:hanging="720"/>
      </w:pPr>
      <w:r>
        <w:rPr>
          <w:i w:val="0"/>
          <w:sz w:val="22"/>
        </w:rPr>
        <w:t xml:space="preserve">Acemoglu, D., &amp; Robinson, J. A. (2012). </w:t>
      </w:r>
      <w:r>
        <w:rPr>
          <w:i/>
          <w:sz w:val="22"/>
        </w:rPr>
        <w:t>Why nations fail: The origins of power, prosperity, and poverty</w:t>
      </w:r>
      <w:r>
        <w:rPr>
          <w:i w:val="0"/>
          <w:sz w:val="22"/>
        </w:rPr>
        <w:t>. Crown. https://www.penguinrandomhouseretail.com/book/?isbn=9780307719218</w:t>
      </w:r>
    </w:p>
    <w:p>
      <w:pPr>
        <w:spacing w:line="480" w:lineRule="auto" w:before="0" w:after="0"/>
        <w:ind w:left="720" w:hanging="720"/>
      </w:pPr>
      <w:r>
        <w:rPr>
          <w:i w:val="0"/>
          <w:sz w:val="22"/>
        </w:rPr>
        <w:t xml:space="preserve">Acorn Holdings. (s. f.). </w:t>
      </w:r>
      <w:r>
        <w:rPr>
          <w:i/>
          <w:sz w:val="22"/>
        </w:rPr>
        <w:t>Overview</w:t>
      </w:r>
      <w:r>
        <w:rPr>
          <w:i w:val="0"/>
          <w:sz w:val="22"/>
        </w:rPr>
        <w:t>. Recuperado el 21 de octubre de 2026, de https://acornholdingsafrica.com/overview/</w:t>
      </w:r>
    </w:p>
    <w:p>
      <w:pPr>
        <w:spacing w:line="480" w:lineRule="auto" w:before="0" w:after="0"/>
        <w:ind w:left="720" w:hanging="720"/>
      </w:pPr>
      <w:r>
        <w:rPr>
          <w:i w:val="0"/>
          <w:sz w:val="22"/>
        </w:rPr>
        <w:t xml:space="preserve">Banco Mundial. (2020). </w:t>
      </w:r>
      <w:r>
        <w:rPr>
          <w:i/>
          <w:sz w:val="22"/>
        </w:rPr>
        <w:t>Kenya systematic country diagnostic</w:t>
      </w:r>
      <w:r>
        <w:rPr>
          <w:i w:val="0"/>
          <w:sz w:val="22"/>
        </w:rPr>
        <w:t>. https://documents1.worldbank.org/curated/en/531731600090213005/pdf/kenya-systematic-country-diagnostic.pdf</w:t>
      </w:r>
    </w:p>
    <w:p>
      <w:pPr>
        <w:spacing w:line="480" w:lineRule="auto" w:before="0" w:after="0"/>
        <w:ind w:left="720" w:hanging="720"/>
      </w:pPr>
      <w:r>
        <w:rPr>
          <w:i w:val="0"/>
          <w:sz w:val="22"/>
        </w:rPr>
        <w:t xml:space="preserve">Banco Mundial. (2024, 10 de diciembre). </w:t>
      </w:r>
      <w:r>
        <w:rPr>
          <w:i/>
          <w:sz w:val="22"/>
        </w:rPr>
        <w:t>Reforms are needed to stem a slow-down in Kenya’s economic growth</w:t>
      </w:r>
      <w:r>
        <w:rPr>
          <w:i w:val="0"/>
          <w:sz w:val="22"/>
        </w:rPr>
        <w:t>. https://www.worldbank.org/en/news/press-release/2024/12/10/reforms-are-needed-to-stem-a-slow-down-in-afe-kenya-s-economic-growth</w:t>
      </w:r>
    </w:p>
    <w:p>
      <w:pPr>
        <w:spacing w:line="480" w:lineRule="auto" w:before="0" w:after="0"/>
        <w:ind w:left="720" w:hanging="720"/>
      </w:pPr>
      <w:r>
        <w:rPr>
          <w:i w:val="0"/>
          <w:sz w:val="22"/>
        </w:rPr>
        <w:t xml:space="preserve">Banco Mundial. (2025). </w:t>
      </w:r>
      <w:r>
        <w:rPr>
          <w:i/>
          <w:sz w:val="22"/>
        </w:rPr>
        <w:t>Kenya economic update 32: From barriers to bridges—Procompetitive reforms for productivity and jobs in Kenya</w:t>
      </w:r>
      <w:r>
        <w:rPr>
          <w:i w:val="0"/>
          <w:sz w:val="22"/>
        </w:rPr>
        <w:t>. https://documents1.worldbank.org/curated/en/099112125062524216/pdf/P507067-4f692fc7-8081-4630-9dd2-d3768ce9defc.pdf</w:t>
      </w:r>
    </w:p>
    <w:p>
      <w:pPr>
        <w:spacing w:line="480" w:lineRule="auto" w:before="0" w:after="0"/>
        <w:ind w:left="720" w:hanging="720"/>
      </w:pPr>
      <w:r>
        <w:rPr>
          <w:i w:val="0"/>
          <w:sz w:val="22"/>
        </w:rPr>
        <w:t xml:space="preserve">Central Bank of Kenya. (s. f.). </w:t>
      </w:r>
      <w:r>
        <w:rPr>
          <w:i/>
          <w:sz w:val="22"/>
        </w:rPr>
        <w:t>Annual GDP</w:t>
      </w:r>
      <w:r>
        <w:rPr>
          <w:i w:val="0"/>
          <w:sz w:val="22"/>
        </w:rPr>
        <w:t>. Recuperado el 21 de octubre de 2026, de https://www.centralbank.go.ke/annual-gdp/</w:t>
      </w:r>
    </w:p>
    <w:p>
      <w:pPr>
        <w:spacing w:line="480" w:lineRule="auto" w:before="0" w:after="0"/>
        <w:ind w:left="720" w:hanging="720"/>
      </w:pPr>
      <w:r>
        <w:rPr>
          <w:i w:val="0"/>
          <w:sz w:val="22"/>
        </w:rPr>
        <w:t xml:space="preserve">Centric Africa Ltd. (2025). </w:t>
      </w:r>
      <w:r>
        <w:rPr>
          <w:i/>
          <w:sz w:val="22"/>
        </w:rPr>
        <w:t>Environmental and social impact assessment study report for the proposed Riruta Keza IHS housing developments</w:t>
      </w:r>
      <w:r>
        <w:rPr>
          <w:i w:val="0"/>
          <w:sz w:val="22"/>
        </w:rPr>
        <w:t>. National Environment Management Authority. https://nema.go.ke/wp-content/uploads/2025/12/IHS-Riruta-Housing_00288-min.pdf</w:t>
      </w:r>
    </w:p>
    <w:p>
      <w:pPr>
        <w:spacing w:line="480" w:lineRule="auto" w:before="0" w:after="0"/>
        <w:ind w:left="720" w:hanging="720"/>
      </w:pPr>
      <w:r>
        <w:rPr>
          <w:i w:val="0"/>
          <w:sz w:val="22"/>
        </w:rPr>
        <w:t>Constitution of Kenya, art. 65 (2010). Kenya Law Reform Commission. https://www.klrc.go.ke/index.php/constitution-of-kenya/116-chapter-five-land-and-environment/117-part-1-land/232-65-landholding-by-non-citizens</w:t>
      </w:r>
    </w:p>
    <w:p>
      <w:pPr>
        <w:spacing w:line="480" w:lineRule="auto" w:before="0" w:after="0"/>
        <w:ind w:left="720" w:hanging="720"/>
      </w:pPr>
      <w:r>
        <w:rPr>
          <w:i w:val="0"/>
          <w:sz w:val="22"/>
        </w:rPr>
        <w:t xml:space="preserve">East African Community. (s. f.). </w:t>
      </w:r>
      <w:r>
        <w:rPr>
          <w:i/>
          <w:sz w:val="22"/>
        </w:rPr>
        <w:t>EAC at a glance</w:t>
      </w:r>
      <w:r>
        <w:rPr>
          <w:i w:val="0"/>
          <w:sz w:val="22"/>
        </w:rPr>
        <w:t>. Recuperado el 21 de octubre de 2026, de https://www.eac.int/component/content/?Itemid=89</w:t>
      </w:r>
    </w:p>
    <w:p>
      <w:pPr>
        <w:spacing w:line="480" w:lineRule="auto" w:before="0" w:after="0"/>
        <w:ind w:left="720" w:hanging="720"/>
      </w:pPr>
      <w:r>
        <w:rPr>
          <w:i w:val="0"/>
          <w:sz w:val="22"/>
        </w:rPr>
        <w:t xml:space="preserve">Freedom House. (2026). </w:t>
      </w:r>
      <w:r>
        <w:rPr>
          <w:i/>
          <w:sz w:val="22"/>
        </w:rPr>
        <w:t>Freedom in the world 2026: Kenya</w:t>
      </w:r>
      <w:r>
        <w:rPr>
          <w:i w:val="0"/>
          <w:sz w:val="22"/>
        </w:rPr>
        <w:t>. https://freedomhouse.org/country/kenya/freedom-world/2026</w:t>
      </w:r>
    </w:p>
    <w:p>
      <w:pPr>
        <w:spacing w:line="480" w:lineRule="auto" w:before="0" w:after="0"/>
        <w:ind w:left="720" w:hanging="720"/>
      </w:pPr>
      <w:r>
        <w:rPr>
          <w:i w:val="0"/>
          <w:sz w:val="22"/>
        </w:rPr>
        <w:t xml:space="preserve">Gamba, P., &amp; Kibaara, B. (2007). </w:t>
      </w:r>
      <w:r>
        <w:rPr>
          <w:i/>
          <w:sz w:val="22"/>
        </w:rPr>
        <w:t>Structural implications of economic liberalization on agriculture and rural development: RuralStruc program, phase I</w:t>
      </w:r>
      <w:r>
        <w:rPr>
          <w:i w:val="0"/>
          <w:sz w:val="22"/>
        </w:rPr>
        <w:t>. Egerton University, Tegemeo Institute. https://documents1.worldbank.org/curated/en/886221468048846460/pdf/779820WP0KENYA00Box377319B00PUBLIC0.pdf</w:t>
      </w:r>
    </w:p>
    <w:p>
      <w:pPr>
        <w:spacing w:line="480" w:lineRule="auto" w:before="0" w:after="0"/>
        <w:ind w:left="720" w:hanging="720"/>
      </w:pPr>
      <w:r>
        <w:rPr>
          <w:i w:val="0"/>
          <w:sz w:val="22"/>
        </w:rPr>
        <w:t xml:space="preserve">International Finance Corporation. (2024). </w:t>
      </w:r>
      <w:r>
        <w:rPr>
          <w:i/>
          <w:sz w:val="22"/>
        </w:rPr>
        <w:t>IHS Kenya: Environmental and social review summary (Project 47136)</w:t>
      </w:r>
      <w:r>
        <w:rPr>
          <w:i w:val="0"/>
          <w:sz w:val="22"/>
        </w:rPr>
        <w:t>. https://disclosures.ifc.org/project-detail/ESRS/47136/co</w:t>
      </w:r>
    </w:p>
    <w:p>
      <w:pPr>
        <w:spacing w:line="480" w:lineRule="auto" w:before="0" w:after="0"/>
        <w:ind w:left="720" w:hanging="720"/>
      </w:pPr>
      <w:r>
        <w:rPr>
          <w:i w:val="0"/>
          <w:sz w:val="22"/>
        </w:rPr>
        <w:t xml:space="preserve">Kenya National Bureau of Statistics. (2025). </w:t>
      </w:r>
      <w:r>
        <w:rPr>
          <w:i/>
          <w:sz w:val="22"/>
        </w:rPr>
        <w:t>Gross county product 2025</w:t>
      </w:r>
      <w:r>
        <w:rPr>
          <w:i w:val="0"/>
          <w:sz w:val="22"/>
        </w:rPr>
        <w:t>. https://www.knbs.or.ke/wp-content/uploads/2025/12/2025-Gross-County-Product.pdf</w:t>
      </w:r>
    </w:p>
    <w:p>
      <w:pPr>
        <w:spacing w:line="480" w:lineRule="auto" w:before="0" w:after="0"/>
        <w:ind w:left="720" w:hanging="720"/>
      </w:pPr>
      <w:r>
        <w:rPr>
          <w:i w:val="0"/>
          <w:sz w:val="22"/>
        </w:rPr>
        <w:t xml:space="preserve">Kenya National Bureau of Statistics. (2026). </w:t>
      </w:r>
      <w:r>
        <w:rPr>
          <w:i/>
          <w:sz w:val="22"/>
        </w:rPr>
        <w:t>Economic survey 2026</w:t>
      </w:r>
      <w:r>
        <w:rPr>
          <w:i w:val="0"/>
          <w:sz w:val="22"/>
        </w:rPr>
        <w:t>. https://www.knbs.or.ke/reports/2026-economic-survey/</w:t>
      </w:r>
    </w:p>
    <w:p>
      <w:pPr>
        <w:spacing w:line="480" w:lineRule="auto" w:before="0" w:after="0"/>
        <w:ind w:left="720" w:hanging="720"/>
      </w:pPr>
      <w:r>
        <w:rPr>
          <w:i w:val="0"/>
          <w:sz w:val="22"/>
        </w:rPr>
      </w:r>
      <w:r>
        <w:rPr>
          <w:i/>
          <w:sz w:val="22"/>
        </w:rPr>
        <w:t>Kenya national human development report 2006: Human security and human development—A deliberate choice</w:t>
      </w:r>
      <w:r>
        <w:rPr>
          <w:i w:val="0"/>
          <w:sz w:val="22"/>
        </w:rPr>
        <w:t>. (2006). https://hdr.undp.org/system/files/documents/kenya2006en.pdf</w:t>
      </w:r>
    </w:p>
    <w:p>
      <w:pPr>
        <w:spacing w:line="480" w:lineRule="auto" w:before="0" w:after="0"/>
        <w:ind w:left="720" w:hanging="720"/>
      </w:pPr>
      <w:r>
        <w:rPr>
          <w:i w:val="0"/>
          <w:sz w:val="22"/>
        </w:rPr>
        <w:t xml:space="preserve">Nairobi City County Government. (2025, junio). </w:t>
      </w:r>
      <w:r>
        <w:rPr>
          <w:i/>
          <w:sz w:val="22"/>
        </w:rPr>
        <w:t>Customer service charter</w:t>
      </w:r>
      <w:r>
        <w:rPr>
          <w:i w:val="0"/>
          <w:sz w:val="22"/>
        </w:rPr>
        <w:t>. https://nairobi.go.ke/wp-content/uploads/NCCG_Service_Charter_2025.pdf</w:t>
      </w:r>
    </w:p>
    <w:p>
      <w:pPr>
        <w:spacing w:line="480" w:lineRule="auto" w:before="0" w:after="0"/>
        <w:ind w:left="720" w:hanging="720"/>
      </w:pPr>
      <w:r>
        <w:rPr>
          <w:i w:val="0"/>
          <w:sz w:val="22"/>
        </w:rPr>
        <w:t xml:space="preserve">National Council for Population and Development. (2025, 12 de marzo). </w:t>
      </w:r>
      <w:r>
        <w:rPr>
          <w:i/>
          <w:sz w:val="22"/>
        </w:rPr>
        <w:t>Press release</w:t>
      </w:r>
      <w:r>
        <w:rPr>
          <w:i w:val="0"/>
          <w:sz w:val="22"/>
        </w:rPr>
        <w:t>. https://ncpd.go.ke/2025/03/12/press-release/</w:t>
      </w:r>
    </w:p>
    <w:p>
      <w:pPr>
        <w:spacing w:line="480" w:lineRule="auto" w:before="0" w:after="0"/>
        <w:ind w:left="720" w:hanging="720"/>
      </w:pPr>
      <w:r>
        <w:rPr>
          <w:i w:val="0"/>
          <w:sz w:val="22"/>
        </w:rPr>
        <w:t xml:space="preserve">The National Treasury. (2025). </w:t>
      </w:r>
      <w:r>
        <w:rPr>
          <w:i/>
          <w:sz w:val="22"/>
        </w:rPr>
        <w:t>Budget review and outlook paper</w:t>
      </w:r>
      <w:r>
        <w:rPr>
          <w:i w:val="0"/>
          <w:sz w:val="22"/>
        </w:rPr>
        <w:t>. https://www.treasury.go.ke/wp-content/uploads/2025/10/2025-Budget-Review-and-Outlook-Paper.pdf</w:t>
      </w:r>
    </w:p>
    <w:p>
      <w:pPr>
        <w:spacing w:line="480" w:lineRule="auto" w:before="0" w:after="0"/>
        <w:ind w:left="720" w:hanging="720"/>
      </w:pPr>
      <w:r>
        <w:rPr>
          <w:i w:val="0"/>
          <w:sz w:val="22"/>
        </w:rPr>
        <w:t xml:space="preserve">Private Infrastructure Development Group. (2025, 17 de noviembre). </w:t>
      </w:r>
      <w:r>
        <w:rPr>
          <w:i/>
          <w:sz w:val="22"/>
        </w:rPr>
        <w:t>PIDG anchors Acorn’s new REIT to finance affordable housing for Kenya’s young urbanites</w:t>
      </w:r>
      <w:r>
        <w:rPr>
          <w:i w:val="0"/>
          <w:sz w:val="22"/>
        </w:rPr>
        <w:t>. https://pidg.org/pidg-anchors-acorns-new-reit-to-finance-affordable-housing-for-kenyas-young-urbanites/</w:t>
      </w:r>
    </w:p>
    <w:p>
      <w:pPr>
        <w:spacing w:line="480" w:lineRule="auto" w:before="0" w:after="0"/>
        <w:ind w:left="720" w:hanging="720"/>
      </w:pPr>
      <w:r>
        <w:rPr>
          <w:i w:val="0"/>
          <w:sz w:val="22"/>
        </w:rPr>
        <w:t xml:space="preserve">Robinson, H. J., Mwangi, B., &amp; Atkinson, B. (2025, 24 de febrero). </w:t>
      </w:r>
      <w:r>
        <w:rPr>
          <w:i/>
          <w:sz w:val="22"/>
        </w:rPr>
        <w:t>Understanding the tenants of Fusion Capital’s rental properties in Nairobi, Kenya</w:t>
      </w:r>
      <w:r>
        <w:rPr>
          <w:i w:val="0"/>
          <w:sz w:val="22"/>
        </w:rPr>
        <w:t>. Reall. https://reall.net/blog/understanding-the-tenants-of-fusion-capitals-rental-properties-in-nairobi-kenya/</w:t>
      </w:r>
    </w:p>
    <w:p>
      <w:pPr>
        <w:spacing w:line="480" w:lineRule="auto" w:before="0" w:after="0"/>
        <w:ind w:left="720" w:hanging="720"/>
      </w:pPr>
      <w:r>
        <w:rPr>
          <w:i w:val="0"/>
          <w:sz w:val="22"/>
        </w:rPr>
        <w:t xml:space="preserve">Shah, S., Zamara, &amp; Centre for Affordable Housing Finance in Africa. (2026, 19 de mayo). </w:t>
      </w:r>
      <w:r>
        <w:rPr>
          <w:i/>
          <w:sz w:val="22"/>
        </w:rPr>
        <w:t>Affordable housing access for Kenya’s formal workforce: What pension data reveals and what can work</w:t>
      </w:r>
      <w:r>
        <w:rPr>
          <w:i w:val="0"/>
          <w:sz w:val="22"/>
        </w:rPr>
        <w:t>. FSD Kenya. https://www.fsdkenya.org/blogs-publications/publications/affordable-housing-access-for-kenyas-formal-workforce-what-pension-data-reveals-and-what-can-work/</w:t>
      </w:r>
    </w:p>
    <w:p>
      <w:pPr>
        <w:spacing w:line="480" w:lineRule="auto" w:before="0" w:after="0"/>
        <w:ind w:left="720" w:hanging="720"/>
      </w:pPr>
      <w:r>
        <w:rPr>
          <w:i w:val="0"/>
          <w:sz w:val="22"/>
        </w:rPr>
        <w:t xml:space="preserve">United Nations Conference on Trade and Development. (2025a). </w:t>
      </w:r>
      <w:r>
        <w:rPr>
          <w:i/>
          <w:sz w:val="22"/>
        </w:rPr>
        <w:t>COMESA investment report 2025: Investment trends and policy insights</w:t>
      </w:r>
      <w:r>
        <w:rPr>
          <w:i w:val="0"/>
          <w:sz w:val="22"/>
        </w:rPr>
        <w:t>. https://unctad.org/system/files/official-document/diae2025d2_en.pdf</w:t>
      </w:r>
    </w:p>
    <w:p>
      <w:pPr>
        <w:spacing w:line="480" w:lineRule="auto" w:before="0" w:after="0"/>
        <w:ind w:left="720" w:hanging="720"/>
      </w:pPr>
      <w:r>
        <w:rPr>
          <w:i w:val="0"/>
          <w:sz w:val="22"/>
        </w:rPr>
        <w:t xml:space="preserve">United Nations Conference on Trade and Development. (2025b). </w:t>
      </w:r>
      <w:r>
        <w:rPr>
          <w:i/>
          <w:sz w:val="22"/>
        </w:rPr>
        <w:t>World investment report 2025: Country fact sheet—Kenya</w:t>
      </w:r>
      <w:r>
        <w:rPr>
          <w:i w:val="0"/>
          <w:sz w:val="22"/>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