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el proyecto de vivienda en Nairobi, el acuerdo podría generar oportunidades si favorece la inversión y la creación de empleo. Sin embargo, estos posibles efectos no garantizan que exista demanda para los alquileres propuestos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muestra un precedente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Se selecciona Acorn como cabecera y se presenta Fusion Capital como alternativa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Fusion Capital permite contrastar otra forma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