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El marco de instituciones inclusivas y extractivas de Acemoglu y Robinson permitirá examinar quién accede a esas oportunidades y cómo se distribuyen los beneficios. Se elige Acorn Holdings como empresa de cabecera y se compara con IHS y Fusion Capital.</w:t>
      </w:r>
    </w:p>
    <w:p>
      <w:pPr>
        <w:pStyle w:val="Heading1"/>
      </w:pPr>
      <w:r>
        <w:t>2. Características del mercado e integración regional</w:t>
      </w:r>
    </w:p>
    <w:p>
      <w:r>
        <w:t>Kenia es un mercado de 53,3 millones de habitantes según la proyección nacional para 2025, recogida por KNBS y el Consejo Nacional de Población y Desarrollo. Se utiliza la serie demográfica nacional (Kenya National Bureau of Statistics, 2026; National Council for Population and Development, 2025). El PIB nominal alcanzó aproximadamente 17,58 billones de chelines en 2025 (Central Bank of Kenya, s. f.; Kenya National Bureau of Statistics, 2026). Esta cifra permite dimensionar la economía nacional. Para estimar la demanda de vivienda del proyecto, es necesario analizar los ingresos, gastos y necesidades de los hogares a los que se dirige.</w:t>
      </w:r>
    </w:p>
    <w:p>
      <w:r>
        <w:rPr>
          <w:i w:val="0"/>
        </w:rPr>
        <w:t xml:space="preserve">Según el </w:t>
      </w:r>
      <w:r>
        <w:rPr>
          <w:i/>
        </w:rPr>
        <w:t>Economic Survey 2026</w:t>
      </w:r>
      <w:r>
        <w:rPr>
          <w:i w:val="0"/>
        </w:rPr>
        <w:t xml:space="preserve"> de KNBS, el PIB real de Kenia creció un 4,6 % en 2025, frente al 4,7 % de 2024. El Banco Central de Kenia reproduce estas cifras en su serie de PIB anual (Central Bank of Kenya, s. f.; Kenya National Bureau of Statistics, 2026). Para valorar las implicaciones de este crecimiento sobre la demanda de alquiler en Nairobi, es necesario estudiar los ingresos y la estabilidad laboral de los hogares destinatarios.</w:t>
      </w:r>
    </w:p>
    <w:p>
      <w:r>
        <w:t>El informe Gross County Product 2025 identifica a Nairobi como la ciudad-condado que más valor añadido genera en el país. Esta concentración de actividad justifica estudiar su mercado residencial. Para diseñar la promoción, sin embargo, es necesario identificar qué hogares podrían alquilarla y cómo accederían desde ella a sus centros de trabajo (Kenya National Bureau of Statistics, 2025).</w:t>
      </w:r>
    </w:p>
    <w:p>
      <w:r>
        <w:t>Por lo tanto, se puede dilucidar que el mercado laboral limita el tamaño de la demanda solvente. La encuesta económica de KNBS muestra que la mayor parte del empleo creado en 2025 se concentró en el sector informal. La estadística excluye la pequeña agricultura rural y las actividades pastoriles y se refiere al país, no específicamente a Nairobi. Por ello, el crecimiento agregado resulta insuficiente para estimar la estabilidad de los ingresos de los futuros inquilinos (Kenya National Bureau of Statistics, 2026).</w:t>
      </w:r>
    </w:p>
    <w:p>
      <w:r>
        <w:t>Para estudiar la capacidad de pago también hay que conocer los gastos y obligaciones del hogar. Se identifican restricciones de acceso a vivienda incluso entre personas vinculadas a fondos de pensiones (Shah, Zamara y Centre for Affordable Housing Finance in Africa, 2026). El cliente propuesto será, por ello, un hogar pequeño de trabajadores con ingresos documentables, sin presentar el proyecto como solución para toda la población de bajos ingresos.</w:t>
      </w:r>
    </w:p>
    <w:p>
      <w:r>
        <w:t>La Comunidad de África Oriental reúne actualmente ocho Estados. Somalia se incorporó como miembro pleno en marzo de 2024. La EAC favorece un marco de cooperación económica cuya relación con el proyecto sería indirecta: actividad empresarial, inversión y movilidad. El mercado residencial de la promoción seguirá siendo local (East African Community, s. f.).</w:t>
      </w:r>
    </w:p>
    <w:p>
      <w:pPr>
        <w:pStyle w:val="Heading1"/>
      </w:pPr>
      <w:r>
        <w:t>3. Activos productivos y condiciones para invertir</w:t>
      </w:r>
    </w:p>
    <w:p>
      <w:r>
        <w:t>La experiencia en servicios digitales ofrece herramientas para gestionar el alquiler. M-Pesa ilustra el uso de telefonía móvil para transferir dinero, aunque el acceso a estos servicios presenta desigualdades (Banco Mundial, 2020). Para un operador residencial, los pagos digitales pueden facilitar cobros y registros. Se trata de una posible mejora de gestión aunque la solvencia del inquilino dependerá de sus ingresos y obligaciones.</w:t>
      </w:r>
    </w:p>
    <w:p>
      <w:r>
        <w:t>Otro activo es la existencia de organizaciones capaces de desarrollar y gestionar vivienda con inversión institucional. Se describen actividades de desarrollo y adquisición de vivienda en Nairobi y otras zonas urbanas, con criterios de eficiencia de recursos y colaboración con promotores (International Finance Corporation, 2024). Este precedente muestra una vía para organizar capital destinado a vivienda. Una nueva operación necesitaría justificar su demanda, sus costes y la modalidad de tenencia.</w:t>
      </w:r>
    </w:p>
    <w:p>
      <w:r>
        <w:t>El contexto de inversión debe distinguir flujos anuales y capital acumulado. Las entradas de inversión extranjera directa en Kenia alcanzaron 1.503 millones de dólares en 2024, cifra redondeada a 1.500 millones en otra publicación del mismo organismo (UNCTAD, 2025a, 2025b). Se trata de flujos nacionales, no de recursos disponibles para vivienda.</w:t>
      </w:r>
      <w:r>
        <w:rPr>
          <w:i/>
        </w:rPr>
      </w:r>
      <w:r/>
    </w:p>
    <w:p>
      <w:r>
        <w:t>La iniciativa de Acorn para ampliar el alquiler y el programa de International Housing Solutions muestran precedentes de organización institucional de capital (International Finance Corporation, 2024; Private Infrastructure Development Group, 2025). Su desarrollo es una oportunidad condicionada por demanda y ejecución, no una promesa automática de financiación del proyecto.</w:t>
      </w:r>
    </w:p>
    <w:p>
      <w:r>
        <w:t>El suelo requiere un tratamiento institucional específico. La Constitución establece en su artículo 65 que las personas no ciudadanas pueden disponer de suelo mediante leasehold por un máximo de 99 años, y define cuándo una sociedad se considera ciudadana a estos efectos. Antes de adquirir la parcela habrá que comprobar el título, la duración del derecho y la estructura de propiedad de la sociedad inversora (Constitution of Kenya, 2010).</w:t>
      </w:r>
    </w:p>
    <w:p>
      <w: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pPr>
        <w:pStyle w:val="Heading2"/>
      </w:pPr>
      <w:r>
        <w:t>4.2. Restricciones externas, ajuste y costes sociales</w:t>
      </w:r>
    </w:p>
    <w:p>
      <w:r>
        <w:rPr>
          <w:i w:val="0"/>
        </w:rPr>
        <w:t>Desde 1980, Kenia aplicó programas de ajuste estructural que buscaban aumentar la participación de las empresas privadas y orientar la producción hacia la exportación. Sus resultados deben analizarse teniendo en cuenta tanto la situación previa del país como las decisiones del Gobierno, sin atribuirlos a una sola causa (Gamba &amp; Kibaara, 2007).</w:t>
      </w:r>
    </w:p>
    <w:p>
      <w:r>
        <w:rPr>
          <w:i w:val="0"/>
        </w:rPr>
        <w:t>Estas reformas incluyeron privatizaciones y cambios en el empleo público y el gasto del Estado. Para valorar sus efectos, hay que estudiar cómo afectaron a los distintos grupos sociales. Una mejora de las cuentas públicas puede coexistir con dificultades de algunas familias para acceder a servicios básicos. Por eso, los indicadores económicos no bastan para conocer sus consecuencias sobre el bienestar (</w:t>
      </w:r>
      <w:r>
        <w:rPr>
          <w:i/>
        </w:rPr>
        <w:t>Kenya National Human Development Report 2006</w:t>
      </w:r>
      <w:r>
        <w:rPr>
          <w:i w:val="0"/>
        </w:rPr>
        <w:t>, 2006).</w:t>
      </w:r>
    </w:p>
    <w:p>
      <w:r>
        <w:rPr>
          <w:i w:val="0"/>
        </w:rPr>
        <w:t>Esto ayuda a entender por qué el salario no basta para calcular cuánto alquiler puede pagar un hogar. Si una familia tiene que destinar más dinero a servicios esenciales, le queda menos para vivienda. Por ello, el proyecto deberá valorar tanto los ingresos como los gastos de sus futuros inquilinos.</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t>El desarrollo de pagos móviles añade una dimensión institucional: una innovación puede reducir obstáculos para operar en la economía. Sin embargo, extender los medios de pago no distribuye automáticamente la productividad ni elimina las diferencias territoriales. Para defender una inversión residencial se necesita comprobar que existen clientes capaces de mantener el alquiler, y que el proyecto no se limita a atender al segmento con mayores ingresos mientras se presenta como respuesta general al problema urbano.</w:t>
      </w:r>
    </w:p>
    <w:p>
      <w:pPr>
        <w:pStyle w:val="Heading2"/>
      </w:pPr>
      <w:r>
        <w:t>4.4. Pandemia, recuperación y restricciones recientes</w:t>
      </w:r>
    </w:p>
    <w:p>
      <w:r>
        <w:t>La pandemia mostró la vulnerabilidad de los ingresos y la diferencia entre actividad agregada y bienestar. La serie de KNBS publicada en 2026 y la tabla de PIB anual del CBK sitúan la contracción de 2020 en el 0,3 % y el rebote de 2021 en el 7,6 %. El repunte reflejó reapertura y recuperación sectorial, por lo que no debe extrapolarse como ritmo permanente (Central Bank of Kenya, s. f.; Kenya National Bureau of Statistics, 2026).</w:t>
      </w:r>
    </w:p>
    <w:p>
      <w:r>
        <w:t>Los shocks climáticos añaden otra limitación. El Economic Update de diciembre de 2024 señala que las inundaciones de ese año afectaron a medios de vida, especialmente urbanos, y limitaron el consumo. Para una promoción de alquiler, drenaje, exposición de la parcela y continuidad de servicios forman parte del análisis económico. Una vivienda físicamente disponible puede ser una mala solución si sus usuarios afrontan interrupciones o costes que no pueden asumir (Banco Mundial, 2024).</w:t>
      </w:r>
    </w:p>
    <w:p>
      <w: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Su implicación para el plan es evitar que la viabilidad dependa de incentivos fiscales amplios o de infraestructura pública cuya financiación no se haya identificado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rPr>
          <w:i w:val="0"/>
        </w:rPr>
        <w:t xml:space="preserve">El marco de Acemoglu y Robinson, desarrollado en </w:t>
      </w:r>
      <w:r>
        <w:rPr>
          <w:i/>
        </w:rPr>
        <w:t>Why Nations Fail</w:t>
      </w:r>
      <w:r>
        <w:rPr>
          <w:i w:val="0"/>
        </w:rPr>
        <w:t xml:space="preserve"> (2012),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w:t>
      </w:r>
    </w:p>
    <w:p>
      <w:r>
        <w:t>Freedom House considera al país parcialmente libre en su edición de 2026 y describe elecciones competitivas junto con problemas de corrupción y actuación de las fuerzas de seguridad. Es una evaluación de derechos y libertades, no una medida directa del riesgo de una promoción ni un sustituto del análisis legal. Sirve para cuestionar la equivalencia entre dinamismo económico y calidad institucional (Freedom House, 2026).</w:t>
      </w:r>
    </w:p>
    <w:p>
      <w: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 El DAFO recoge esa tensión entre capacidades empresariales y restricciones de ingresos, servicios y gobernanza.</w:t>
      </w:r>
    </w:p>
    <w:p>
      <w:pPr>
        <w:pStyle w:val="Heading1"/>
      </w:pPr>
      <w:r>
        <w:t>5. DAFO de la economía aplicado a la vivienda de alquiler</w:t>
      </w:r>
    </w:p>
    <w:p>
      <w:r>
        <w:t>El DAFO relaciona los hallazgos anteriores con las condiciones que deberá reunir la inversión.</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interna</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externa</w:t>
            </w:r>
          </w:p>
        </w:tc>
      </w:tr>
      <w:tr>
        <w:trPr>
          <w:cantSplit/>
        </w:trPr>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Fortalezas:</w:t>
            </w:r>
            <w:r>
              <w:rPr>
                <w:sz w:val="20"/>
              </w:rPr>
              <w:t xml:space="preserve"> concentración de actividad en Nairobi; experiencia en servicios y pagos digitales; presencia de promotores y vehículos institucionales de vivienda. Estas capacidades permiten estudiar una oferta de alquiler gestionada profesionalmente (§§ 2–3).</w:t>
            </w:r>
          </w:p>
        </w:tc>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Oportunidades:</w:t>
            </w:r>
            <w:r>
              <w:rPr>
                <w:sz w:val="20"/>
              </w:rPr>
              <w:t xml:space="preserve"> integración regional y posibilidades de captar capital de largo plazo, ilustradas por el programa de IHS y la iniciativa de Acorn. Su aprovechamiento exige convertir los marcos y compromisos en proyectos ejecutables (§§ 2–3).</w:t>
            </w:r>
          </w:p>
        </w:tc>
      </w:tr>
      <w:tr>
        <w:trPr>
          <w:cantSplit/>
        </w:trPr>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Debilidades:</w:t>
            </w:r>
            <w:r>
              <w:rPr>
                <w:sz w:val="20"/>
              </w:rPr>
              <w:t xml:space="preserve"> creación insuficiente de empleo formal, restricciones de capacidad de pago y problemas de gobernanza. El suelo y los servicios requieren comprobación local. La necesidad residencial no equivale a demanda solvente (§§ 2–4).</w:t>
            </w:r>
          </w:p>
        </w:tc>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Amenazas:</w:t>
            </w:r>
            <w:r>
              <w:rPr>
                <w:sz w:val="20"/>
              </w:rPr>
              <w:t xml:space="preserve"> shocks climáticos, dificultades de financiación y volatilidad económica. La presión fiscal limita la capacidad de respaldar inversiones y los hogares pueden perder margen de gasto durante una crisis (§ 4.4).</w:t>
            </w:r>
          </w:p>
        </w:tc>
      </w:tr>
    </w:tbl>
    <w:p>
      <w:pPr>
        <w:spacing w:after="0"/>
      </w:pPr>
    </w:p>
    <w:p>
      <w:r>
        <w:t>Las fortalezas y oportunidades justifican explorar el proyecto, mientras las debilidades y amenazas condicionan su diseño. La respuesta a ingresos limitados debe ser ajustar producto y costes; la respuesta a riesgos climáticos, escoger y diseñar bien la parcela; y la respuesta a incertidumbre institucional, asegurar trazabilidad y reglas contractuales. Estas condiciones guían el plan de inversión.</w:t>
      </w:r>
    </w:p>
    <w:p>
      <w:pPr>
        <w:pStyle w:val="Heading1"/>
      </w:pPr>
      <w:r>
        <w:t>6. Propuesta de inversión y plan de acción</w:t>
      </w:r>
    </w:p>
    <w:p>
      <w:pPr>
        <w:pStyle w:val="Heading2"/>
      </w:pPr>
      <w:r>
        <w:t>6.1. Sector, producto y modalidad de inversión</w:t>
      </w:r>
    </w:p>
    <w:p>
      <w:r>
        <w:t>Se propone ampliar la inversión en vivienda construida para alquiler de larga duración en Nairobi. La ubicación de estudio es Riruta y el público prioritario son hogares pequeños de trabajadores con ingresos regulares, incluidos autónomos capaces de documentarlos. El producto combinaría estudios y viviendas de un dormitorio. La proporción, superficie y número de unidades se decidirían después de comprobar demanda y costes; la propuesta no presupone que exista ya una parcela disponible.</w:t>
      </w:r>
    </w:p>
    <w:p>
      <w:r>
        <w:t>La elección frente a vivienda para venta responde al objetivo del trabajo: atender una necesidad residencial sin exigir una compra ni un compromiso hipotecario al cliente. Frente a oficinas o alojamiento turístico, permite vincular más directamente la inversión con condiciones de vida de trabajadores. La elección responde a ese objetivo residencial; no implica que sea el segmento más rentable.</w:t>
      </w:r>
    </w:p>
    <w:p>
      <w:r>
        <w:t>Riruta se selecciona como zona de estudio porque existen actuaciones residenciales documentadas en ella. El estudio ambiental de 2025 del proyecto Keza–IHS, alojado por NEMA, sitúa esa promoción en Ndwaru Road, Dagoretti South, Nairobi, y señala necesidades locales de seguridad peatonal. Es una referencia para estudiar competencia, accesos y servicios, aunque sus conclusiones corresponden a otra promoción y no se pueden trasladar a una parcela de Acorn (Centric Africa Ltd., 2025).</w:t>
      </w:r>
    </w:p>
    <w:p>
      <w:r>
        <w:t>La capacidad de pago se evaluará sobre ingreso neto del hogar, alquiler, servicios, depósito y transporte. El estudio de trabajadores de FSD Kenya confirma que la estabilidad laboral no elimina restricciones presupuestarias, pero no proporciona una mediana representativa de Riruta. Por eso no se fija una tarifa ni se califica el producto como asequible de antemano. Se propone vivienda para un segmento de trabajadores con capacidad acreditada, reconociendo que el de menor ingreso podría necesitar otra estructura de costes o apoyo específico.</w:t>
      </w:r>
    </w:p>
    <w:p>
      <w:r>
        <w:t>La modalidad propuesta sería capital de largo plazo asociado a un promotor-operador local, con propiedad y gestión unificadas durante la explotación. Esto permite responsabilizar a un mismo proyecto de conservación, cobros y servicio al inquilino. La entrada de un inversor extranjero podría canalizarse mediante una participación en el vehículo propietario, sujeta a la estructura legal y financiera aplicable; no toda suscripción de un producto financiero constituye automáticamente IED.</w:t>
      </w:r>
    </w:p>
    <w:p>
      <w:r>
        <w:t>Frente a estudiar una nueva implantación en Kampala o Kigali, se prioriza aprovechar las capacidades kenianas ya documentadas de Acorn e IHS. Esta elección reduce el número de capacidades que habría que construir desde cero y permite concentrar el análisis en producto y clientes. Es una ventaja de ejecución propuesta, no una superioridad demostrada de Nairobi en rentabilidad o costes.</w:t>
      </w:r>
    </w:p>
    <w:p>
      <w:pPr>
        <w:pStyle w:val="Heading2"/>
      </w:pPr>
      <w:r>
        <w:t>6.2. Empresas objetivo y empresa de cabecera</w:t>
      </w:r>
    </w:p>
    <w:p>
      <w:r>
        <w:rPr>
          <w:b/>
        </w:rPr>
        <w:t>Acorn Holdings</w:t>
      </w:r>
      <w:r>
        <w:t xml:space="preserve"> es la empresa de cabecera elegida porque combina desarrollo, propiedad y gestión de alquiler. Su estrategia corporativa plantea extender su experiencia desde estudiantes hacia jóvenes profesionales y, posteriormente, familias. Esto encaja con trabajadores que comienzan una etapa residencial independiente, aunque obliga a comprobar que sus ingresos y necesidades corresponden al producto. La experiencia estudiantil es transferible en gestión, pero no demuestra por sí sola aceptación de viviendas para parejas o familias (Acorn Holdings, s. f.).</w:t>
      </w:r>
    </w:p>
    <w:p>
      <w:r>
        <w:t>La selección también responde a una iniciativa concreta. PIDG anunció el 17 de noviembre de 2025 la autorización de un Acorn Build-To-Rent Development REIT destinado a jóvenes urbanos que han terminado sus estudios, con capital comprometido para su establecimiento. El anuncio respalda la coherencia estratégica de nuestra propuesta; no acredita que haya una promoción de Acorn en Riruta ni viviendas terminadas para estos clientes. El trabajo plantea una posible ampliación, no atribuye a la empresa decisiones que no ha anunciado (Private Infrastructure Development Group, 2025).</w:t>
      </w:r>
    </w:p>
    <w:p>
      <w:r>
        <w:t>Su aportación potencial sería organizar diseño, contratación, captación de capital y explotación, además de implantar mantenimiento y atención al inquilino. El valor añadido local deberá concretarse en empleo, formación y compras a proveedores, sin dar por hecho que se produzca por la sola presencia de una empresa institucional. La integración de desarrollo y gestión permitiría asignarle responsabilidades durante la construcción y el uso del inmueble.</w:t>
      </w:r>
    </w:p>
    <w:p>
      <w:r>
        <w:t>El mercado potencial de Acorn comprende hogares que valoren estabilidad, servicios y proximidad al empleo. Su disposición a pagar debe contrastarse con alternativas existentes. Se propone consultar empleadores y organizaciones profesionales, sin limitar el acceso a empleados de una única empresa ni convertir una intención de interés en una reserva firme.</w:t>
      </w:r>
    </w:p>
    <w:p>
      <w:r>
        <w:t>La continuidad de Acorn como cabecera estará condicionada al ajuste entre costes e ingresos. Un producto que solo resulte viable para hogares de mayor poder adquisitivo requeriría redefinir su alcance. La profesionalización aportará inclusión si mejora estabilidad y servicios a un coste asumible; su contribución debe verificarse mediante resultados de los residentes.</w:t>
      </w:r>
    </w:p>
    <w:p>
      <w:r>
        <w:rPr>
          <w:b/>
        </w:rPr>
        <w:t>International Housing Solutions (IHS)</w:t>
      </w:r>
      <w:r>
        <w:t xml:space="preserve"> es una segunda empresa objetivo por su experiencia en fondos de vivienda y su programa keniano. La documentación de IFC contempla alquiler, venta y alquiler con opción de compra; por ello, habría que acordar expresamente una operación destinada a alquiler permanente. Se estudiaría como alternativa para captar y gestionar capital, sin presumir que dispone de fondos comprometidos para esta promoción (International Finance Corporation, 2024).</w:t>
      </w:r>
    </w:p>
    <w:p>
      <w:r>
        <w:rPr>
          <w:b/>
        </w:rPr>
        <w:t>Fusion Capital</w:t>
      </w:r>
      <w:r>
        <w:t xml:space="preserve"> es la alternativa regional por su experiencia documentada de vivienda de alquiler. El estudio de Reall sobre sus inquilinos permite observar mejoras residenciales junto con dificultades de asequibilidad, aunque su muestra no representa a toda Nairobi. Aporta una comparación útil sobre cómo equilibrar calidad y precio. No se propone que las tres empresas formen un consorcio: se selecciona Acorn y se explican las alternativas (Robinson et al., 2025).</w:t>
      </w:r>
    </w:p>
    <w:p>
      <w:pPr>
        <w:pStyle w:val="Heading2"/>
      </w:pPr>
      <w:r>
        <w:t>6.3. Plan 360º responsables, plazos e indicadores</w:t>
      </w:r>
    </w:p>
    <w:p>
      <w:r>
        <w:t>El calendario es una propuesta propia desde el inicio del estudio. La apertura dependerá de parcela, permisos, diseño y financiación; los plazos no son compromisos de empresas o autoridades.</w:t>
      </w:r>
    </w:p>
    <w:tbl>
      <w:tblPr>
        <w:tblW w:type="auto" w:w="0"/>
        <w:jc w:val="center"/>
        <w:tblLayout w:type="fixed"/>
        <w:tblLook w:firstColumn="1" w:firstRow="1" w:lastColumn="0" w:lastRow="0" w:noHBand="0" w:noVBand="1" w:val="04A0"/>
      </w:tblPr>
      <w:tblGrid>
        <w:gridCol w:w="1512"/>
        <w:gridCol w:w="2592"/>
        <w:gridCol w:w="1872"/>
        <w:gridCol w:w="1368"/>
        <w:gridCol w:w="1973"/>
      </w:tblGrid>
      <w:tr>
        <w:trPr>
          <w:cantSplit/>
          <w:tblHeader/>
        </w:trPr>
        <w:tc>
          <w:tcPr>
            <w:tcW w:type="dxa" w:w="151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Palanca</w:t>
            </w:r>
          </w:p>
        </w:tc>
        <w:tc>
          <w:tcPr>
            <w:tcW w:type="dxa" w:w="259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Actuación propuesta</w:t>
            </w:r>
          </w:p>
        </w:tc>
        <w:tc>
          <w:tcPr>
            <w:tcW w:type="dxa" w:w="187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Responsable propuesto</w:t>
            </w:r>
          </w:p>
        </w:tc>
        <w:tc>
          <w:tcPr>
            <w:tcW w:type="dxa" w:w="136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Plazo orientativo</w:t>
            </w:r>
          </w:p>
        </w:tc>
        <w:tc>
          <w:tcPr>
            <w:tcW w:type="dxa" w:w="1973"/>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Evidencia de ejecución</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Formación y capital humano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Identificar perfiles de obra y gestión; acordar prácticas remuneradas y formación con un centro técnico local</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 contratista y centro formativo seleccionado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Diseño en meses 0–6; ejecución durante obra y operación</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Personas formadas, certificaciones, contratación y continuidad laboral</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Marco legislativo y regulatorio</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Revisar título, uso permitido, estructura de inversión y permisos; preparar contrato y cargos comprensibles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Asesoría local, promotor y autoridades competentes</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Comprobaciones iniciales en meses 0–6; autorizaciones antes de cada fase</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Documentación validada y registro de solicitudes y resoluciones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Infraestructura</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Comparar parcelas por agua, saneamiento, drenaje, energía y transporte; definir conexiones y mantenimiento</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Equipo técnico, operadores de servicios y condado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Evaluación en meses 0–6; acuerdos antes de obra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Costes de conexión, continuidad prevista y verificación técnica</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Incentivos administrativos</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Solicitar coordinación de trámites e información pública de requisitos, sin eximir controles ni presuponer ventajas fiscales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Promotor, Invest Kenya y condado</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Durante preparación y autorizaciones</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Requisitos documentados, incidencias y tiempos observados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Gestión e impacto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Establecer compras locales, atención al inquilino y evaluación del coste total de residencia</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Promotor-operador y proveedores</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Desde la contratación; revisión tras apertura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Compras locales, mantenimiento, reclamaciones y esfuerzo de pago</w:t>
            </w:r>
          </w:p>
        </w:tc>
      </w:tr>
    </w:tbl>
    <w:p>
      <w:pPr>
        <w:spacing w:after="0"/>
      </w:pPr>
    </w:p>
    <w:p>
      <w:r>
        <w:t>La carta de servicios del condado distingue aprobación de planos, inspecciones y certificado de ocupación. Cada función exige una comprobación distinta. La presentación de un expediente no sustituye las autorizaciones correspondientes; tampoco asegura que se cumplan los tiempos administrativos anunciados (Nairobi City County Government, 2025).</w:t>
      </w:r>
    </w:p>
    <w:p>
      <w:pPr>
        <w:pStyle w:val="Heading2"/>
      </w:pPr>
      <w:r>
        <w:t>6.4. Financiación, ejecución y condiciones para avanzar</w:t>
      </w:r>
    </w:p>
    <w:p>
      <w:r>
        <w:t>Antes de comprometer la construcción, el promotor deberá comparar ingresos de alquiler razonablemente sustentados con suelo, obra, financiación, mantenimiento, seguros, gestión y vacancia. La evaluación debe incluir menor ocupación, retrasos de entrega y aumento de costes. Si existen costes o deuda en divisas frente a alquileres en chelines, deberá explicarse cómo se limita ese desajuste. No se presupone disponibilidad de cobertura ni financiación concesional.</w:t>
      </w:r>
    </w:p>
    <w:p>
      <w:r>
        <w:t>Se recomienda avanzar por decisiones sucesivas: primero, demanda y parcelas; después, diseño, costes y permisos; finalmente, financiación y contratación. Cada fase debe tener una salida posible si el proyecto no alcanza sus condiciones mínimas. El acceso a servicios y la capacidad de pago serán condiciones de aprobación, no mejoras aplazadas hasta después de comercializar.</w:t>
      </w:r>
    </w:p>
    <w:p>
      <w:r>
        <w:t>Las restricciones presupuestarias del país justifican priorizar la coordinación administrativa frente a exenciones fiscales generales. Cualquier apoyo adicional tendría que identificar fundamento legal, coste y beneficiarios. La formación o una mejora ambiental solo justificarían apoyo si sus resultados son verificables y no se limitan a compromisos de marketing.</w:t>
      </w:r>
    </w:p>
    <w:p>
      <w:r>
        <w:t>El seguimiento combinará ocupación y cobro con calidad del servicio, resolución de reclamaciones y coste total para los residentes. Las metas se fijarán cuando exista línea de base. Se evaluará también si la actuación desplaza a ocupantes o actividades existentes: una mejora del inmueble que expulse al público al que se pretende atender contradiría la justificación del proyecto.</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IHS y Fusion permiten contrastar otras formas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keepLines/>
        <w:spacing w:line="288" w:lineRule="auto"/>
        <w:ind w:left="720" w:hanging="720"/>
      </w:pPr>
      <w:r>
        <w:rPr>
          <w:sz w:val="21"/>
        </w:rPr>
        <w:t xml:space="preserve">Acemoglu, D., &amp; Robinson, J. A. (2012). </w:t>
      </w:r>
      <w:r>
        <w:rPr>
          <w:i/>
          <w:sz w:val="21"/>
        </w:rPr>
        <w:t>Why nations fail: The origins of power, prosperity, and poverty</w:t>
      </w:r>
      <w:r>
        <w:rPr>
          <w:sz w:val="21"/>
        </w:rPr>
        <w:t>. Crown. https://www.penguinrandomhouseretail.com/book/?isbn=9780307719218</w:t>
      </w:r>
    </w:p>
    <w:p>
      <w:pPr>
        <w:keepLines/>
        <w:spacing w:line="288" w:lineRule="auto"/>
        <w:ind w:left="720" w:hanging="720"/>
      </w:pPr>
      <w:r>
        <w:rPr>
          <w:sz w:val="21"/>
        </w:rPr>
        <w:t xml:space="preserve">Acorn Holdings (s. f.). </w:t>
      </w:r>
      <w:r>
        <w:rPr>
          <w:i/>
          <w:sz w:val="21"/>
        </w:rPr>
        <w:t>Overview</w:t>
      </w:r>
      <w:r>
        <w:rPr>
          <w:sz w:val="21"/>
        </w:rPr>
        <w:t>. Recuperado el 21 de octubre de 2026, de https://acornholdingsafrica.com/overview/</w:t>
      </w:r>
    </w:p>
    <w:p>
      <w:pPr>
        <w:keepLines/>
        <w:spacing w:line="288" w:lineRule="auto"/>
        <w:ind w:left="720" w:hanging="720"/>
      </w:pPr>
      <w:r>
        <w:rPr>
          <w:sz w:val="21"/>
        </w:rPr>
        <w:t xml:space="preserve">Banco Mundial (2020). </w:t>
      </w:r>
      <w:r>
        <w:rPr>
          <w:i/>
          <w:sz w:val="21"/>
        </w:rPr>
        <w:t>Kenya systematic country diagnostic</w:t>
      </w:r>
      <w:r>
        <w:rPr>
          <w:sz w:val="21"/>
        </w:rPr>
        <w:t>. https://documents1.worldbank.org/curated/en/531731600090213005/pdf/kenya-systematic-country-diagnostic.pdf</w:t>
      </w:r>
    </w:p>
    <w:p>
      <w:pPr>
        <w:keepLines/>
        <w:spacing w:line="288" w:lineRule="auto"/>
        <w:ind w:left="720" w:hanging="720"/>
      </w:pPr>
      <w:r>
        <w:rPr>
          <w:sz w:val="21"/>
        </w:rPr>
        <w:t xml:space="preserve">Banco Mundial (2024, 10 de diciembre). </w:t>
      </w:r>
      <w:r>
        <w:rPr>
          <w:i/>
          <w:sz w:val="21"/>
        </w:rPr>
        <w:t>Reforms are needed to stem a slow-down in Kenya’s economic growth</w:t>
      </w:r>
      <w:r>
        <w:rPr>
          <w:sz w:val="21"/>
        </w:rPr>
        <w:t>. https://www.worldbank.org/en/news/press-release/2024/12/10/reforms-are-needed-to-stem-a-slow-down-in-afe-kenya-s-economic-growth</w:t>
      </w:r>
    </w:p>
    <w:p>
      <w:pPr>
        <w:keepLines/>
        <w:spacing w:line="288" w:lineRule="auto"/>
        <w:ind w:left="720" w:hanging="720"/>
      </w:pPr>
      <w:r>
        <w:rPr>
          <w:sz w:val="21"/>
        </w:rPr>
        <w:t xml:space="preserve">Banco Mundial (2025). </w:t>
      </w:r>
      <w:r>
        <w:rPr>
          <w:i/>
          <w:sz w:val="21"/>
        </w:rPr>
        <w:t>Kenya economic update 32: From barriers to bridges—Procompetitive reforms for productivity and jobs in Kenya</w:t>
      </w:r>
      <w:r>
        <w:rPr>
          <w:sz w:val="21"/>
        </w:rPr>
        <w:t>. https://documents1.worldbank.org/curated/en/099112125062524216/pdf/P507067-4f692fc7-8081-4630-9dd2-d3768ce9defc.pdf</w:t>
      </w:r>
    </w:p>
    <w:p>
      <w:pPr>
        <w:keepLines/>
        <w:spacing w:line="288" w:lineRule="auto"/>
        <w:ind w:left="720" w:hanging="720"/>
      </w:pPr>
      <w:r>
        <w:rPr>
          <w:sz w:val="21"/>
        </w:rPr>
        <w:t xml:space="preserve">Central Bank of Kenya (s. f.). </w:t>
      </w:r>
      <w:r>
        <w:rPr>
          <w:i/>
          <w:sz w:val="21"/>
        </w:rPr>
        <w:t>Annual GDP</w:t>
      </w:r>
      <w:r>
        <w:rPr>
          <w:sz w:val="21"/>
        </w:rPr>
        <w:t>. Recuperado el 21 de octubre de 2026, de https://www.centralbank.go.ke/annual-gdp/</w:t>
      </w:r>
    </w:p>
    <w:p>
      <w:pPr>
        <w:keepLines/>
        <w:spacing w:line="288" w:lineRule="auto"/>
        <w:ind w:left="720" w:hanging="720"/>
      </w:pPr>
      <w:r>
        <w:rPr>
          <w:sz w:val="21"/>
        </w:rPr>
        <w:t xml:space="preserve">Centric Africa Ltd. (2025). </w:t>
      </w:r>
      <w:r>
        <w:rPr>
          <w:i/>
          <w:sz w:val="21"/>
        </w:rPr>
        <w:t>Environmental and social impact assessment study report for the proposed Riruta Keza IHS housing developments</w:t>
      </w:r>
      <w:r>
        <w:rPr>
          <w:sz w:val="21"/>
        </w:rPr>
        <w:t>. National Environment Management Authority. https://nema.go.ke/wp-content/uploads/2025/12/IHS-Riruta-Housing_00288-min.pdf</w:t>
      </w:r>
    </w:p>
    <w:p>
      <w:pPr>
        <w:keepLines/>
        <w:spacing w:line="288" w:lineRule="auto"/>
        <w:ind w:left="720" w:hanging="720"/>
      </w:pPr>
      <w:r>
        <w:rPr>
          <w:i/>
          <w:sz w:val="21"/>
        </w:rPr>
        <w:t>Constitution of Kenya</w:t>
      </w:r>
      <w:r>
        <w:rPr>
          <w:sz w:val="21"/>
        </w:rPr>
        <w:t>, art. 65 (2010). Kenya Law Reform Commission. https://www.klrc.go.ke/index.php/constitution-of-kenya/116-chapter-five-land-and-environment/117-part-1-land/232-65-landholding-by-non-citizens</w:t>
      </w:r>
    </w:p>
    <w:p>
      <w:pPr>
        <w:keepLines/>
        <w:spacing w:line="288" w:lineRule="auto"/>
        <w:ind w:left="720" w:hanging="720"/>
      </w:pPr>
      <w:r>
        <w:rPr>
          <w:sz w:val="21"/>
        </w:rPr>
        <w:t xml:space="preserve">East African Community (s. f.). </w:t>
      </w:r>
      <w:r>
        <w:rPr>
          <w:i/>
          <w:sz w:val="21"/>
        </w:rPr>
        <w:t>EAC at a glance</w:t>
      </w:r>
      <w:r>
        <w:rPr>
          <w:sz w:val="21"/>
        </w:rPr>
        <w:t>. Recuperado el 21 de octubre de 2026, de https://www.eac.int/component/content/?Itemid=89</w:t>
      </w:r>
    </w:p>
    <w:p>
      <w:pPr>
        <w:keepLines/>
        <w:spacing w:line="288" w:lineRule="auto"/>
        <w:ind w:left="720" w:hanging="720"/>
      </w:pPr>
      <w:r>
        <w:rPr>
          <w:sz w:val="21"/>
        </w:rPr>
        <w:t xml:space="preserve">Freedom House (2026). </w:t>
      </w:r>
      <w:r>
        <w:rPr>
          <w:i/>
          <w:sz w:val="21"/>
        </w:rPr>
        <w:t>Freedom in the world 2026: Kenya</w:t>
      </w:r>
      <w:r>
        <w:rPr>
          <w:sz w:val="21"/>
        </w:rPr>
        <w:t>. https://freedomhouse.org/country/kenya/freedom-world/2026</w:t>
      </w:r>
    </w:p>
    <w:p>
      <w:pPr>
        <w:keepLines/>
        <w:spacing w:line="288" w:lineRule="auto"/>
        <w:ind w:left="720" w:hanging="720"/>
      </w:pPr>
      <w:r>
        <w:rPr>
          <w:sz w:val="21"/>
        </w:rPr>
        <w:t xml:space="preserve">Gamba, P., &amp; Kibaara, B. (2007). </w:t>
      </w:r>
      <w:r>
        <w:rPr>
          <w:i/>
          <w:sz w:val="21"/>
        </w:rPr>
        <w:t>Structural implications of economic liberalization on agriculture and rural development: RuralStruc program, phase I</w:t>
      </w:r>
      <w:r>
        <w:rPr>
          <w:sz w:val="21"/>
        </w:rPr>
        <w:t>. Egerton University, Tegemeo Institute. https://documents1.worldbank.org/curated/en/886221468048846460/pdf/779820WP0KENYA00Box377319B00PUBLIC0.pdf</w:t>
      </w:r>
    </w:p>
    <w:p>
      <w:pPr>
        <w:keepLines/>
        <w:spacing w:line="288" w:lineRule="auto"/>
        <w:ind w:left="720" w:hanging="720"/>
      </w:pPr>
      <w:r>
        <w:rPr>
          <w:sz w:val="21"/>
        </w:rPr>
        <w:t xml:space="preserve">International Finance Corporation (2024). </w:t>
      </w:r>
      <w:r>
        <w:rPr>
          <w:i/>
          <w:sz w:val="21"/>
        </w:rPr>
        <w:t>IHS Kenya: Environmental and social review summary (Project 47136)</w:t>
      </w:r>
      <w:r>
        <w:rPr>
          <w:sz w:val="21"/>
        </w:rPr>
        <w:t>. https://disclosures.ifc.org/project-detail/ESRS/47136/co</w:t>
      </w:r>
    </w:p>
    <w:p>
      <w:pPr>
        <w:keepLines/>
        <w:spacing w:line="288" w:lineRule="auto"/>
        <w:ind w:left="720" w:hanging="720"/>
      </w:pPr>
      <w:r>
        <w:rPr>
          <w:sz w:val="21"/>
        </w:rPr>
        <w:t xml:space="preserve">Kenya National Bureau of Statistics (2025). </w:t>
      </w:r>
      <w:r>
        <w:rPr>
          <w:i/>
          <w:sz w:val="21"/>
        </w:rPr>
        <w:t>Gross County Product 2025</w:t>
      </w:r>
      <w:r>
        <w:rPr>
          <w:sz w:val="21"/>
        </w:rPr>
        <w:t>. https://www.knbs.or.ke/wp-content/uploads/2025/12/2025-Gross-County-Product.pdf</w:t>
      </w:r>
    </w:p>
    <w:p>
      <w:pPr>
        <w:keepLines/>
        <w:spacing w:line="288" w:lineRule="auto"/>
        <w:ind w:left="720" w:hanging="720"/>
      </w:pPr>
      <w:r>
        <w:rPr>
          <w:sz w:val="21"/>
        </w:rPr>
        <w:t xml:space="preserve">Kenya National Bureau of Statistics (2026). </w:t>
      </w:r>
      <w:r>
        <w:rPr>
          <w:i/>
          <w:sz w:val="21"/>
        </w:rPr>
        <w:t>Economic Survey 2026</w:t>
      </w:r>
      <w:r>
        <w:rPr>
          <w:sz w:val="21"/>
        </w:rPr>
        <w:t>. https://www.knbs.or.ke/reports/2026-economic-survey/</w:t>
      </w:r>
    </w:p>
    <w:p>
      <w:pPr>
        <w:keepLines/>
        <w:spacing w:line="288" w:lineRule="auto"/>
        <w:ind w:left="720" w:hanging="720"/>
      </w:pPr>
      <w:r>
        <w:rPr>
          <w:i/>
          <w:sz w:val="21"/>
        </w:rPr>
        <w:t>Kenya national human development report 2006: Human security and human development—A deliberate choice</w:t>
      </w:r>
      <w:r>
        <w:rPr>
          <w:sz w:val="21"/>
        </w:rPr>
        <w:t>. (2006). https://hdr.undp.org/system/files/documents/kenya2006en.pdf</w:t>
      </w:r>
    </w:p>
    <w:p>
      <w:pPr>
        <w:keepLines/>
        <w:spacing w:line="288" w:lineRule="auto"/>
        <w:ind w:left="720" w:hanging="720"/>
      </w:pPr>
      <w:r>
        <w:rPr>
          <w:sz w:val="21"/>
        </w:rPr>
        <w:t xml:space="preserve">Nairobi City County Government (2025, junio). </w:t>
      </w:r>
      <w:r>
        <w:rPr>
          <w:i/>
          <w:sz w:val="21"/>
        </w:rPr>
        <w:t>Customer service charter</w:t>
      </w:r>
      <w:r>
        <w:rPr>
          <w:sz w:val="21"/>
        </w:rPr>
        <w:t>. https://nairobi.go.ke/wp-content/uploads/NCCG_Service_Charter_2025.pdf</w:t>
      </w:r>
    </w:p>
    <w:p>
      <w:pPr>
        <w:keepLines/>
        <w:spacing w:line="288" w:lineRule="auto"/>
        <w:ind w:left="720" w:hanging="720"/>
      </w:pPr>
      <w:r>
        <w:rPr>
          <w:sz w:val="21"/>
        </w:rPr>
        <w:t xml:space="preserve">National Council for Population and Development (2025, 12 de marzo). </w:t>
      </w:r>
      <w:r>
        <w:rPr>
          <w:i/>
          <w:sz w:val="21"/>
        </w:rPr>
        <w:t>Press release</w:t>
      </w:r>
      <w:r>
        <w:rPr>
          <w:sz w:val="21"/>
        </w:rPr>
        <w:t>. https://ncpd.go.ke/2025/03/12/press-release/</w:t>
      </w:r>
    </w:p>
    <w:p>
      <w:pPr>
        <w:keepLines/>
        <w:spacing w:line="288" w:lineRule="auto"/>
        <w:ind w:left="720" w:hanging="720"/>
      </w:pPr>
      <w:r>
        <w:rPr>
          <w:sz w:val="21"/>
        </w:rPr>
        <w:t xml:space="preserve">Private Infrastructure Development Group (2025, 17 de noviembre). </w:t>
      </w:r>
      <w:r>
        <w:rPr>
          <w:i/>
          <w:sz w:val="21"/>
        </w:rPr>
        <w:t>PIDG anchors Acorn’s new REIT to finance affordable housing for Kenya’s young urbanites</w:t>
      </w:r>
      <w:r>
        <w:rPr>
          <w:sz w:val="21"/>
        </w:rPr>
        <w:t>. https://pidg.org/pidg-anchors-acorns-new-reit-to-finance-affordable-housing-for-kenyas-young-urbanites/</w:t>
      </w:r>
    </w:p>
    <w:p>
      <w:pPr>
        <w:keepLines/>
        <w:spacing w:line="288" w:lineRule="auto"/>
        <w:ind w:left="720" w:hanging="720"/>
      </w:pPr>
      <w:r>
        <w:rPr>
          <w:sz w:val="21"/>
        </w:rPr>
        <w:t xml:space="preserve">Robinson, H. J., Mwangi, B., &amp; Atkinson, B. (2025, 24 de febrero). </w:t>
      </w:r>
      <w:r>
        <w:rPr>
          <w:i/>
          <w:sz w:val="21"/>
        </w:rPr>
        <w:t>Understanding the tenants of Fusion Capital’s rental properties in Nairobi, Kenya</w:t>
      </w:r>
      <w:r>
        <w:rPr>
          <w:sz w:val="21"/>
        </w:rPr>
        <w:t>. Reall. https://reall.net/blog/understanding-the-tenants-of-fusion-capitals-rental-properties-in-nairobi-kenya/</w:t>
      </w:r>
    </w:p>
    <w:p>
      <w:pPr>
        <w:keepLines/>
        <w:spacing w:line="288" w:lineRule="auto"/>
        <w:ind w:left="720" w:hanging="720"/>
      </w:pPr>
      <w:r>
        <w:rPr>
          <w:sz w:val="21"/>
        </w:rPr>
        <w:t xml:space="preserve">Shah, S., Zamara, &amp; Centre for Affordable Housing Finance in Africa (2026, 19 de mayo). </w:t>
      </w:r>
      <w:r>
        <w:rPr>
          <w:i/>
          <w:sz w:val="21"/>
        </w:rPr>
        <w:t>Affordable housing access for Kenya’s formal workforce: What pension data reveals and what can work</w:t>
      </w:r>
      <w:r>
        <w:rPr>
          <w:sz w:val="21"/>
        </w:rPr>
        <w:t>. FSD Kenya. https://www.fsdkenya.org/blogs-publications/publications/affordable-housing-access-for-kenyas-formal-workforce-what-pension-data-reveals-and-what-can-work/</w:t>
      </w:r>
    </w:p>
    <w:p>
      <w:pPr>
        <w:keepLines/>
        <w:spacing w:line="288" w:lineRule="auto"/>
        <w:ind w:left="720" w:hanging="720"/>
      </w:pPr>
      <w:r>
        <w:rPr>
          <w:sz w:val="21"/>
        </w:rPr>
        <w:t xml:space="preserve">The National Treasury (2025). </w:t>
      </w:r>
      <w:r>
        <w:rPr>
          <w:i/>
          <w:sz w:val="21"/>
        </w:rPr>
        <w:t>Budget review and outlook paper</w:t>
      </w:r>
      <w:r>
        <w:rPr>
          <w:sz w:val="21"/>
        </w:rPr>
        <w:t>. https://www.treasury.go.ke/wp-content/uploads/2025/10/2025-Budget-Review-and-Outlook-Paper.pdf</w:t>
      </w:r>
    </w:p>
    <w:p>
      <w:pPr>
        <w:keepLines/>
        <w:spacing w:line="288" w:lineRule="auto"/>
        <w:ind w:left="720" w:hanging="720"/>
      </w:pPr>
      <w:r>
        <w:rPr>
          <w:sz w:val="21"/>
        </w:rPr>
        <w:t xml:space="preserve">UNCTAD (2025a). </w:t>
      </w:r>
      <w:r>
        <w:rPr>
          <w:i/>
          <w:sz w:val="21"/>
        </w:rPr>
        <w:t>COMESA investment report 2025: Investment trends and policy insights</w:t>
      </w:r>
      <w:r>
        <w:rPr>
          <w:sz w:val="21"/>
        </w:rPr>
        <w:t>. https://unctad.org/system/files/official-document/diae2025d2_en.pdf</w:t>
      </w:r>
    </w:p>
    <w:p>
      <w:pPr>
        <w:keepLines/>
        <w:spacing w:line="288" w:lineRule="auto"/>
        <w:ind w:left="720" w:hanging="720"/>
      </w:pPr>
      <w:r>
        <w:rPr>
          <w:sz w:val="21"/>
        </w:rPr>
        <w:t xml:space="preserve">UNCTAD (2025b). </w:t>
      </w:r>
      <w:r>
        <w:rPr>
          <w:i/>
          <w:sz w:val="21"/>
        </w:rPr>
        <w:t>World investment report 2025: Country fact sheet—Kenya</w:t>
      </w:r>
      <w:r>
        <w:rPr>
          <w:sz w:val="21"/>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