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Zamara y Centre for Affordable Housing Finance in Africa,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El contexto de inversión debe distinguir flujos anuales y capital acumulado. Las entradas de inversión extranjera directa en Kenia alcanzaron 1.503 millones de dólares en 2024, cifra redondeada a 1.500 millones en otra publicación del mismo organismo (UNCTAD, 2025a, 2025b). Se trata de flujos nacionales, no de recursos disponibles para vivienda.</w:t>
      </w:r>
      <w:r>
        <w:rPr>
          <w:i/>
        </w:rPr>
      </w:r>
      <w:r/>
    </w:p>
    <w:p>
      <w: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rPr>
          <w:i w:val="0"/>
        </w:rPr>
        <w:t>Desde 1980, Kenia aplicó programas de ajuste estructural que buscaban aumentar la participación de las empresas privadas y orientar la producción hacia la exportación. Sus resultados deben analizarse teniendo en cuenta tanto la situación previa del país como las decisiones del Gobierno, sin atribuirlos a una sola causa (Gamba &amp; Kibaara, 2007).</w:t>
      </w:r>
    </w:p>
    <w:p>
      <w:r>
        <w:rPr>
          <w:i w:val="0"/>
        </w:rPr>
        <w:t>Estas reformas incluyeron privatizaciones y cambios en el empleo público y el gasto del Estado. Para valorar sus efectos, hay que estudiar cómo afectaron a los distintos grupos sociales. Una mejora de las cuentas públicas puede coexistir con dificultades de algunas familias para acceder a servicios básicos. Por eso, los indicadores económicos no bastan para conocer sus consecuencias sobre el bienestar (</w:t>
      </w:r>
      <w:r>
        <w:rPr>
          <w:i/>
        </w:rPr>
        <w:t>Kenya National Human Development Report 2006</w:t>
      </w:r>
      <w:r>
        <w:rPr>
          <w:i w:val="0"/>
        </w:rPr>
        <w:t>, 2006).</w:t>
      </w:r>
    </w:p>
    <w:p>
      <w:r>
        <w:rPr>
          <w:i w:val="0"/>
        </w:rPr>
        <w:t>Esto ayuda a entender por qué el salario no basta para calcular cuánto alquiler puede pagar un hogar. Si una familia tiene que destinar más dinero a servicios esenciales, le queda menos para vivienda. Por ello, el proyecto deberá valorar tanto los ingresos como los gastos de sus futuros inquilinos.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El repunte reflejó reapertura y recuperación sectorial, por lo que no debe extrapolarse como ritmo permanente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desarrollado en </w:t>
      </w:r>
      <w:r>
        <w:rPr>
          <w:i/>
        </w:rPr>
        <w:t>Why Nations Fail</w:t>
      </w:r>
      <w: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 Estos mecanismos son hipótesis interpretativas que deben contrastarse con el caso, no efectos medidos por este informe (Acemoglu &amp; Robinson, 2012). Este enfoque permite examinar diferencias entre ámbitos institucionales de Kenia, sin clasificar al país de forma uniforme como inclusivo o extractivo.</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alojado por NEMA, sitúa esa promoción en Ndwaru Road, Dagoretti South, Nairobi, y señala necesidades locales de seguridad peatonal. Es una referencia para estudiar competencia, accesos y servicios, aunque sus conclusiones corresponden a otra promoción y no se pueden trasladar a una parcela de Acorn (Centric Africa Ltd., 2025).</w:t>
      </w:r>
    </w:p>
    <w:p>
      <w:r>
        <w:t>La capacidad de pago se evaluará sobre ingreso neto del hogar, alquiler, servicios, depósito y transporte. El estudio de trabajadores de FSD Kenya confirma que la estabilidad laboral no elimina restricciones presupuestarias, pero no proporciona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