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El PIB nominal alcanzó aproximadamente 17,58 billones de chelines en 2025; es decir, millones de millones. Son indicadores del tamaño del país; la demanda de vivienda requiere un análisis específico de hogares (Central Bank of Kenya, s. f.; Kenya National Bureau of Statistics, 2026; National Council for Population and Development, 2025).</w:t>
      </w:r>
    </w:p>
    <w:p>
      <w:r>
        <w:t>Kenia combina agricultura con comercio, finanzas, transporte y servicios de información. Según KNBS, el PIB real creció un 4,6 % en 2025, frente al 4,7 % de 2024. La agricultura conserva un peso importante en la estructura productiva. La coexistencia de estas actividades diversifica las fuentes de ingreso, aunque la exposición agrícola y la calidad del empleo siguen condicionando el mercado residencial (Central Bank of Kenya, s. f.; Kenya National Bureau of Statistics, 2026).</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Un estudio de Zamara, CAHF y FSD Kenya publicado en 2026 identifica restricciones de acceso a vivienda incluso entre personas vinculadas a fondos de pensiones. Aunque su muestra no representa a toda la capital, documenta que ingresos recurrentes y acceso a financiación pueden coexistir con restricciones presupuestarias. El cliente propuesto será, por ello, un hogar pequeño de trabajadores con ingresos documentables, sin presentar el proyecto como solución para toda la población de bajos ingresos (Shah et al., 2026).</w:t>
      </w:r>
    </w:p>
    <w:p>
      <w:r>
        <w:t>Kenia participa en la integración africana a través de la Unión Africana y de acuerdos continentales y subregionales (InfoTradeKenya, s. f.). 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r>
        <w:t>Kenia también participa en la AfCFTA. El portal oficial de comercio distingue la entrada en vigor del acuerdo, en mayo de 2019, del inicio del comercio en enero de 2021. Su aplicación gradual exige distinguir la pertenencia al acuerdo de las condiciones efectivas de acceso a cada mercado. Para una vivienda situada en Nairobi, sus efectos deben analizarse mediante empleo, proveedores e inversión, sin atribuirle una demanda residencial garantizada (InfoTradeKenya,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la solvencia del inquilino depende de sus ingresos y obligaciones.</w:t>
      </w:r>
    </w:p>
    <w:p>
      <w:r>
        <w:t>Otro activo es la existencia de organizaciones capaces de desarrollar y gestionar vivienda con inversión institucional. La ficha de IFC sobre IHS describe desarrollo y adquisición de vivienda en Nairobi y otras zonas urbanas, con criterios de eficiencia de recursos y colaboración con promotores. Este precedente muestra una vía para organizar capital destinado a vivienda. Una nueva operación necesitaría justificar su demanda, sus costes y la modalidad de tenencia (International Finance Corporation, 2024).</w:t>
      </w:r>
    </w:p>
    <w:p>
      <w:r>
        <w:t xml:space="preserve">El contexto de inversión debe distinguir flujos anuales y capital acumulado. La ficha keniana del </w:t>
      </w:r>
      <w:r>
        <w:rPr>
          <w:i/>
        </w:rPr>
        <w:t>World Investment Report 2025</w:t>
      </w:r>
      <w:r>
        <w:t xml:space="preserve"> de UNCTAD registra entradas de IED de 1.503 millones de dólares en 2024; su informe COMESA 2025 las redondea a 1.500 millones. Se trata de flujos nacionales, no de recursos disponibles para vivienda. Ambas publicaciones comparten la base de UNCTAD: su coincidencia permite contrastar la cifra, pero no constituye una medición independiente. El dato corresponde a 2024 según la edición 2025 (UNCTAD, 2025a, 2025b).</w:t>
      </w:r>
    </w:p>
    <w:p>
      <w:r>
        <w:t>La iniciativa de Acorn para ampliar el alquiler y el programa de IHS muestran precedentes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InfoTradeKenya (s. f.). </w:t>
      </w:r>
      <w:r>
        <w:rPr>
          <w:i/>
          <w:sz w:val="21"/>
        </w:rPr>
        <w:t>AfCFTA market requirements</w:t>
      </w:r>
      <w:r>
        <w:rPr>
          <w:sz w:val="21"/>
        </w:rPr>
        <w:t>. Recuperado el 21 de octubre de 2026, de https://infotradekenya.go.ke/menu/895</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