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sitúa esa promoción en Ndwaru Road, Dagoretti South, Nairobi, y señala necesidades locales de seguridad peatonal (Centric Africa Ltd., 2025). Es una referencia para estudiar competencia, accesos y servicios, aunque sus conclusiones corresponden a otra promoción y no se pueden trasladar a una parcela de Acorn.</w:t>
      </w:r>
    </w:p>
    <w:p>
      <w:r>
        <w:t>La capacidad de pago se evaluará sobre ingreso neto del hogar, alquiler, servicios, depósito y transporte. La estabilidad laboral no elimina las restricciones presupuestarias (Shah, Zamara y Centre for Affordable Housing Finance in Africa, 2026). Los datos del estudio no proporcionan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Se propone financiar el proyecto con inversión a largo plazo y contar con una empresa local que organice la construcción y gestione las viviendas. La propiedad se mantendría unificada, con responsabilidades claras sobre mantenimiento, cobros y atención a los inquilinos. Un inversor extranjero podría participar en la sociedad propietaria del edificio, de acuerdo con las normas legales y financieras aplicables. Esta participación se consideraría inversión extranjera directa si cumple los criterios correspondientes.</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