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Un estudio de Zamara, CAHF y FSD Kenya publicado en 2026 identifica restricciones de acceso a vivienda incluso entre personas vinculadas a fondos de pensiones. Aunque su muestra no representa a toda la capital, documenta que ingresos recurrentes y acceso a financiación pueden coexistir con restricciones presupuestarias. El cliente propuesto será, por ello, un hogar pequeño de trabajadores con ingresos documentables, sin presentar el proyecto como solución para toda la población de bajos ingresos (Shah et al., 2026).</w:t>
      </w:r>
    </w:p>
    <w:p>
      <w:r>
        <w:t>Kenia participa en la integración africana a través de la Unión Africana y de acuerdos continentales y subregionales (InfoTradeKenya, s. f.). 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r>
        <w:t>Kenia también participa en la AfCFTA. El portal oficial de comercio distingue la entrada en vigor del acuerdo, en mayo de 2019, del inicio del comercio en enero de 2021. Su aplicación gradual exige distinguir la pertenencia al acuerdo de las condiciones efectivas de acceso a cada mercado. Para una vivienda situada en Nairobi, sus efectos deben analizarse mediante empleo, proveedores e inversión, sin atribuirle una demanda residencial garantizada (InfoTradeKenya,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la solvencia del inquilino depende de sus ingresos y obligaciones.</w:t>
      </w:r>
    </w:p>
    <w:p>
      <w:r>
        <w:t>Otro activo es la existencia de organizaciones capaces de desarrollar y gestionar vivienda con inversión institucional. La ficha de IFC sobre IHS describe desarrollo y adquisición de vivienda en Nairobi y otras zonas urbanas, con criterios de eficiencia de recursos y colaboración con promotores. Este precedente muestra una vía para organizar capital destinado a vivienda. Una nueva operación necesitaría justificar su demanda, sus costes y la modalidad de tenencia (International Finance Corporation, 2024).</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InfoTradeKenya (s. f.). </w:t>
      </w:r>
      <w:r>
        <w:rPr>
          <w:i/>
          <w:sz w:val="21"/>
        </w:rPr>
        <w:t>AfCFTA market requirements</w:t>
      </w:r>
      <w:r>
        <w:rPr>
          <w:sz w:val="21"/>
        </w:rPr>
        <w:t>. Recuperado el 21 de octubre de 2026, de https://infotradekenya.go.ke/menu/895</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