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principal y se compara con IHS y Fusion Capital.</w:t>
      </w:r>
    </w:p>
    <w:p>
      <w:pPr>
        <w:pStyle w:val="Heading1"/>
      </w:pPr>
      <w:r>
        <w:t>2. Características del mercado e integración regional</w:t>
      </w:r>
    </w:p>
    <w:p>
      <w:r>
        <w:t>Kenia es un mercado de 53,3 millones de habitantes según la proyección demográfica nacional para 2025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t>El PIB real de Kenia creció un 4,6 % en 2025, frente al 4,7 % de 2024 (Kenya National Bureau of Statistics, 2026).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mayor parte del empleo creado en 2025 se concentró en el sector informal (Kenya National Bureau of Statistics, 2026).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et al.,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(United Nations Conference on Trade and Development [UNCTAD], 2025a, 2025b). Se trata de flujos nacionales, no de recursos disponibles para vivienda.</w:t>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El PIB real se contrajo un 0,3 % en 2020 y creció un 7,6 % en 2021 (Central Bank of Kenya, s. f.; Kenya National Bureau of Statistics, 2026).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t xml:space="preserve">El marco de Acemoglu y Robinson (2012), desarrollado en </w:t>
      </w:r>
      <w:r>
        <w:rPr>
          <w:i/>
        </w:rPr>
        <w:t>Why nations fail</w:t>
      </w:r>
      <w:r>
        <w:t>,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de Kenia</w:t>
      </w:r>
    </w:p>
    <w:p>
      <w:r>
        <w:t>Este DAFO recoge el análisis previo sobre la economía de Kenia, sin aplicarlo al mercado del alquiler.</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Fortalezas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Debilidades</w:t>
            </w:r>
          </w:p>
        </w:tc>
      </w:tr>
      <w:tr>
        <w:tc>
          <w:tcPr>
            <w:tcW w:type="dxa" w:w="4658"/>
          </w:tcPr>
          <w:p>
            <w:r>
              <w:t>Diversidad de actividades económicas. La presencia de agricultura, comercio, finanzas, transporte y servicios de información ofrece distintas fuentes de producción e ingresos.</w:t>
            </w:r>
          </w:p>
        </w:tc>
        <w:tc>
          <w:tcPr>
            <w:tcW w:type="dxa" w:w="4658"/>
          </w:tcPr>
          <w:p>
            <w:r>
              <w:t>Elevada informalidad laboral. El crecimiento económico no se traduce necesariamente en empleo estable, protección social y mejoras de ingresos para toda la población.</w:t>
            </w:r>
          </w:p>
        </w:tc>
      </w:tr>
      <w:tr>
        <w:tc>
          <w:tcPr>
            <w:tcW w:type="dxa" w:w="4658"/>
          </w:tcPr>
          <w:p>
            <w:r>
              <w:t>Desarrollo de servicios e innovación financiera. La experiencia en pagos móviles facilita transacciones y ofrece herramientas para ampliar la participación en la economía.</w:t>
            </w:r>
          </w:p>
        </w:tc>
        <w:tc>
          <w:tcPr>
            <w:tcW w:type="dxa" w:w="4658"/>
          </w:tcPr>
          <w:p>
            <w:r>
              <w:t>Desigualdad de acceso a las oportunidades. Persisten diferencias en el acceso al empleo, la financiación, la tierra y los servicios básicos, que limitan la distribución de los beneficios del crecimiento.</w:t>
            </w:r>
          </w:p>
        </w:tc>
      </w:tr>
      <w:tr>
        <w:tc>
          <w:tcPr>
            <w:tcW w:type="dxa" w:w="4658"/>
          </w:tcPr>
          <w:p>
            <w:r>
              <w:t>Concentración de actividad empresarial en Nairobi. La capital reúne empresas y servicios que pueden facilitar la inversión y las relaciones comerciales.</w:t>
            </w:r>
          </w:p>
        </w:tc>
        <w:tc>
          <w:tcPr>
            <w:tcW w:type="dxa" w:w="4658"/>
          </w:tcPr>
          <w:p>
            <w:r>
              <w:t>Restricciones fiscales. El elevado endeudamiento reduce el margen del Estado para financiar servicios, infraestructura y medidas de apoyo durante las crisis.</w:t>
            </w:r>
          </w:p>
        </w:tc>
      </w:tr>
      <w:tr>
        <w:tc>
          <w:tcPr>
            <w:tcW w:type="dxa" w:w="4658"/>
          </w:tcPr>
          <w:p>
            <w:r>
              <w:t>Capacidad para atraer inversión extranjera. Las entradas de inversión documentadas muestran vínculos con capital internacional que pueden contribuir al desarrollo productivo.</w:t>
            </w:r>
          </w:p>
        </w:tc>
        <w:tc>
          <w:tcPr>
            <w:tcW w:type="dxa" w:w="4658"/>
          </w:tcPr>
          <w:p>
            <w:r>
              <w:t>Problemas de gobernanza y seguridad jurídica. La corrupción y la falta de previsibilidad de determinados procedimientos pueden dificultar la competencia y elevar los costes de inversión.</w:t>
            </w:r>
          </w:p>
        </w:tc>
      </w:tr>
    </w:tbl>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Oportunidades</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r>
              <w:rPr>
                <w:b/>
              </w:rPr>
              <w:t>Amenazas</w:t>
            </w:r>
          </w:p>
        </w:tc>
      </w:tr>
      <w:tr>
        <w:tc>
          <w:tcPr>
            <w:tcW w:type="dxa" w:w="4658"/>
          </w:tcPr>
          <w:p>
            <w:r>
              <w:t>Integración regional. La participación en la Comunidad de África Oriental ofrece posibilidades de ampliar mercados y fortalecer las relaciones comerciales y empresariales.</w:t>
            </w:r>
          </w:p>
        </w:tc>
        <w:tc>
          <w:tcPr>
            <w:tcW w:type="dxa" w:w="4658"/>
          </w:tcPr>
          <w:p>
            <w:r>
              <w:t>Fenómenos climáticos extremos. Las inundaciones y otros episodios pueden dañar infraestructura, afectar a la producción agrícola e interrumpir la actividad económica.</w:t>
            </w:r>
          </w:p>
        </w:tc>
      </w:tr>
      <w:tr>
        <w:tc>
          <w:tcPr>
            <w:tcW w:type="dxa" w:w="4658"/>
          </w:tcPr>
          <w:p>
            <w:r>
              <w:t>Expansión de servicios digitales. Su desarrollo puede mejorar la gestión empresarial, facilitar pagos y ampliar el acceso a servicios financieros.</w:t>
            </w:r>
          </w:p>
        </w:tc>
        <w:tc>
          <w:tcPr>
            <w:tcW w:type="dxa" w:w="4658"/>
          </w:tcPr>
          <w:p>
            <w:r>
              <w:t>Cambios desfavorables en la financiación internacional. Un encarecimiento o una menor disponibilidad de capital puede dificultar la inversión y aumentar las presiones sobre las finanzas públicas.</w:t>
            </w:r>
          </w:p>
        </w:tc>
      </w:tr>
      <w:tr>
        <w:tc>
          <w:tcPr>
            <w:tcW w:type="dxa" w:w="4658"/>
          </w:tcPr>
          <w:p>
            <w:r>
              <w:t>Inversión orientada a diversificar y modernizar la producción. La captación de capital puede apoyar infraestructura, tecnología y actividades de mayor valor añadido, si existen condiciones adecuadas de ejecución.</w:t>
            </w:r>
          </w:p>
        </w:tc>
        <w:tc>
          <w:tcPr>
            <w:tcW w:type="dxa" w:w="4658"/>
          </w:tcPr>
          <w:p>
            <w:r>
              <w:t>Crisis económicas y sanitarias externas. La pandemia mostró que estas perturbaciones pueden reducir la actividad y los ingresos, incluso después de etapas de crecimiento.</w:t>
            </w:r>
          </w:p>
        </w:tc>
      </w:tr>
      <w:tr>
        <w:tc>
          <w:tcPr>
            <w:tcW w:type="dxa" w:w="4658"/>
          </w:tcPr>
          <w:p>
            <w:r>
              <w:t>Aprovechamiento de una población joven. Una mayor incorporación al empleo productivo puede ampliar la capacidad económica del país, siempre que vaya acompañada de formación y oportunidades laborales.</w:t>
            </w:r>
          </w:p>
        </w:tc>
        <w:tc>
          <w:tcPr>
            <w:tcW w:type="dxa" w:w="4658"/>
          </w:tcPr>
          <w:p>
            <w:r>
              <w:t>Incertidumbre política y tensiones sociales. Los problemas institucionales y las dificultades económicas pueden afectar a la confianza y a la continuidad de la actividad empresarial.</w:t>
            </w:r>
          </w:p>
        </w:tc>
      </w:tr>
    </w:tbl>
    <w:p>
      <w:pPr>
        <w:spacing w:after="0"/>
      </w:pPr>
    </w:p>
    <w:p>
      <w:r>
        <w:t>El análisis muestra una economía con capacidades en servicios, innovación y atracción de inversión, pero con dificultades para convertir el crecimiento en bienestar generalizado. Su evolución dependerá de la creación de empleo productivo, la mejora institucional y la capacidad para afrontar las restricciones fiscales y los riesgos climáticos.</w:t>
      </w:r>
    </w:p>
    <w:p>
      <w:pPr>
        <w:pStyle w:val="Heading1"/>
      </w:pPr>
      <w:r>
        <w:t>6. Plan de acción final: inversión en vivienda de alquiler en Nairobi</w:t>
      </w:r>
    </w:p>
    <w:p>
      <w:pPr>
        <w:pStyle w:val="Heading2"/>
      </w:pPr>
      <w:r>
        <w:t>6.1. Propuesta de atracción de inversión</w:t>
      </w:r>
    </w:p>
    <w:p>
      <w:r>
        <w:t>La apuesta de este trabajo es atraer inversión de largo plazo para construir y gestionar viviendas de alquiler en Nairobi, con Riruta como zona inicial de estudio. El producto combinaría estudios y viviendas de un dormitorio destinados a hogares pequeños de trabajadores con ingresos documentables, incluidos autónomos. La propuesta aprovecha tres fortalezas del DAFO: la concentración de actividad empresarial en Nairobi, la experiencia en servicios y pagos digitales y la capacidad de atraer capital extranjero. La oportunidad consiste en reunir esas capacidades en una oferta de alquiler con mantenimiento y atención al residente gestionados profesionalmente.</w:t>
      </w:r>
    </w:p>
    <w:p>
      <w:r>
        <w:t>Se elige este sector frente a la vivienda para venta, las oficinas y el alojamiento turístico porque permite vincular la inversión con una necesidad residencial de trabajadores sin exigirles una compra ni una hipoteca. No se sostiene que sea el sector más rentable de Kenia: se defiende que es el que mejor conecta el objetivo social del trabajo con las capacidades empresariales documentadas. El hueco que se propone investigar es el de hogares que necesitan vivienda estable, pero no quieren o no pueden comprar. Su tamaño y su capacidad de pago deberán comprobarse antes de construir.</w:t>
      </w:r>
    </w:p>
    <w:p>
      <w:r>
        <w:t>Riruta ofrece un punto de partida concreto porque cuenta con actuaciones residenciales documentadas. Un estudio ambiental sitúa el proyecto Keza–IHS en Ndwaru Road, Dagoretti South, y señala necesidades de seguridad peatonal (Centric Africa Ltd., 2025). Este antecedente justifica estudiar competencia, accesos y servicios en la zona; no demuestra que haya una parcela disponible ni que la demanda de otra promoción sea trasladable a la propuesta.</w:t>
      </w:r>
    </w:p>
    <w:p>
      <w:r>
        <w:t>El inversor prioritario sería un fondo de capital de largo plazo especializado en vivienda, asociado con un promotor y gestor local. La inversión se canalizaría mediante una participación en la sociedad propietaria de las viviendas, manteniendo la propiedad y la gestión unificadas. Si el capital procede del extranjero, su clasificación como inversión extranjera directa dependerá de las características de la participación. Se priorizará una estructura financiera compatible con ingresos en chelines, para limitar el riesgo de pagar deuda en divisas con alquileres en moneda local.</w:t>
      </w:r>
    </w:p>
    <w:p>
      <w:r>
        <w:t>El argumento de Kenia frente a una nueva implantación en Kampala o Kigali es la posibilidad de trabajar con empresas que ya cuentan con experiencia documentada en el mercado keniano. Esta base permite concentrar recursos en seleccionar la parcela, ajustar el producto y captar clientes, en lugar de crear toda la capacidad operativa desde cero. Es una ventaja de ejecución para esta propuesta; la información reunida no permite afirmar que Nairobi ofrezca mayor rentabilidad o menores costes que ambas ciudades.</w:t>
      </w:r>
    </w:p>
    <w:p>
      <w:r>
        <w:t>Las debilidades del DAFO determinan el diseño: la informalidad y las restricciones presupuestarias obligan a estudiar ingresos y gastos reales, y los problemas de gobernanza exigen revisar suelo y permisos. La existencia de ingresos recurrentes no elimina las dificultades de acceso a vivienda (Shah et al., 2026). Por ello, no se fija todavía una tarifa ni se presenta el producto como asequible para toda la población de bajos ingresos.</w:t>
      </w:r>
    </w:p>
    <w:p>
      <w:pPr>
        <w:pStyle w:val="Heading2"/>
      </w:pPr>
      <w:r>
        <w:t>6.2. Empresas objetivo y elección de Acorn Holdings como cabecera</w:t>
      </w:r>
    </w:p>
    <w:p>
      <w:r>
        <w:t>Se seleccionan tres empresas reales por sus capacidades documentadas en vivienda y gestión de capital. Son candidatas a explorar, no inversores que hayan comprometido recursos para este proyecto.</w:t>
      </w:r>
    </w:p>
    <w:p>
      <w:r/>
      <w:r>
        <w:rPr>
          <w:b/>
        </w:rPr>
        <w:t>Acorn Holdings.</w:t>
      </w:r>
      <w:r>
        <w:t xml:space="preserve"> Es la primera opción y la empresa de cabecera. Combina desarrollo, propiedad y gestión de alquiler, y su estrategia contempla ampliar su actividad desde estudiantes hacia jóvenes profesionales y familias (Acorn Holdings, s. f.). Además, se ha anunciado un vehículo de inversión inmobiliaria orientado al alquiler para jóvenes urbanos que han terminado sus estudios (Private Infrastructure Development Group, 2025). Esta orientación encaja con el segmento propuesto mejor que una empresa dedicada exclusivamente a vender viviendas. El anuncio no acredita una promoción de Acorn en Riruta.</w:t>
      </w:r>
    </w:p>
    <w:p>
      <w:r/>
      <w:r>
        <w:rPr>
          <w:b/>
        </w:rPr>
        <w:t>International Housing Solutions.</w:t>
      </w:r>
      <w:r>
        <w:t xml:space="preserve"> Es la segunda candidata por su experiencia en fondos de vivienda y su programa keniano. Su actividad documentada contempla alquiler, venta y alquiler con opción de compra (International Finance Corporation, 2024). Podría aportar capacidad de inversión y relaciones con promotores, pero habría que acordar expresamente que la operación se mantuviera destinada al alquiler de larga duración. Por esta diferencia de modalidades, se sitúa como alternativa a Acorn y no como cabecera preferente.</w:t>
      </w:r>
    </w:p>
    <w:p>
      <w:r/>
      <w:r>
        <w:rPr>
          <w:b/>
        </w:rPr>
        <w:t>Fusion Capital.</w:t>
      </w:r>
      <w:r>
        <w:t xml:space="preserve"> Es la tercera candidata por su experiencia regional en vivienda de alquiler. La información sobre sus inquilinos permite identificar mejoras residenciales junto con dificultades de asequibilidad (Robinson et al., 2025). Su interés para la propuesta reside en esa experiencia operativa y en la posibilidad de contrastar decisiones de calidad y precio. La muestra del estudio no permite estimar la demanda de toda Nairobi ni confirma su interés en financiar una nueva promoción.</w:t>
      </w:r>
    </w:p>
    <w:p>
      <w:r>
        <w:t>La elección de Acorn es una decisión del trabajo basada en información pública, no en una relación personal o profesional con la empresa. Se le asignaría la coordinación del diseño, la contratación, la captación de capital y la gestión posterior. Su valor añadido potencial sería mantener una responsabilidad clara durante todo el ciclo del inmueble, transferir experiencia de gestión y generar empleo y compras locales. La formación, las contrataciones y los proveedores deberán registrarse para comprobar esa aportación.</w:t>
      </w:r>
    </w:p>
    <w:p>
      <w:r>
        <w:t>El mercado objetivo de Acorn serían hogares pequeños que valoren estabilidad residencial, mantenimiento y acceso al empleo. La concentración de actividad en Nairobi y la estrategia empresarial documentada justifican estudiar ese mercado, pero no permiten calcular todavía el número de clientes ni su disposición a pagar. Durante la preparación se compararán alquileres y viviendas alternativas y se consultará a trabajadores, empleadores y organizaciones profesionales. El presupuesto del hogar incluirá alquiler, suministros, depósito y transporte. La experiencia de Acorn en alojamiento estudiantil será un punto de partida de gestión, no una prueba de aceptación por parejas o familias.</w:t>
      </w:r>
    </w:p>
    <w:p>
      <w:r>
        <w:t>La decisión es, por tanto, negociar primero con Acorn y utilizar International Housing Solutions y Fusion Capital como alternativas para contrastar condiciones. No se presupone un consorcio entre las tres. Si el coste total solo permite atender a hogares de mayores ingresos, se revisará el producto y su justificación social antes de aprobar la construcción.</w:t>
      </w:r>
    </w:p>
    <w:p>
      <w:pPr>
        <w:pStyle w:val="Heading2"/>
      </w:pPr>
      <w:r>
        <w:t>6.3. Plan de acción 360º: medidas, responsables y plazos</w:t>
      </w:r>
    </w:p>
    <w:p>
      <w:r>
        <w:t>El plan convierte las debilidades y amenazas del DAFO en actuaciones verificables. Los plazos se cuentan desde el inicio del estudio y son propuestas del trabajo, no compromisos asumidos por empresas o autoridades. Los meses 0–6 se dedicarían a demanda y parcelas; los meses 6–12, al diseño, las autorizaciones y la financiación. El calendario de obra se aprobaría después de completar esas comprobaciones.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rPr>
                <w:b/>
                <w:sz w:val="16"/>
              </w:rPr>
              <w:t>Palanca</w:t>
            </w:r>
          </w:p>
        </w:tc>
        <w:tc>
          <w:tcPr>
            <w:tcW w:type="dxa" w:w="1863"/>
          </w:tcPr>
          <w:p>
            <w:r>
              <w:rPr>
                <w:b/>
                <w:sz w:val="16"/>
              </w:rPr>
              <w:t>Actuación y relación con el DAFO</w:t>
            </w:r>
          </w:p>
        </w:tc>
        <w:tc>
          <w:tcPr>
            <w:tcW w:type="dxa" w:w="1863"/>
          </w:tcPr>
          <w:p>
            <w:r>
              <w:rPr>
                <w:b/>
                <w:sz w:val="16"/>
              </w:rPr>
              <w:t>Responsable propuesto</w:t>
            </w:r>
          </w:p>
        </w:tc>
        <w:tc>
          <w:tcPr>
            <w:tcW w:type="dxa" w:w="1863"/>
          </w:tcPr>
          <w:p>
            <w:r>
              <w:rPr>
                <w:b/>
                <w:sz w:val="16"/>
              </w:rPr>
              <w:t>Plazo orientativo</w:t>
            </w:r>
          </w:p>
        </w:tc>
        <w:tc>
          <w:tcPr>
            <w:tcW w:type="dxa" w:w="1863"/>
          </w:tcPr>
          <w:p>
            <w:r>
              <w:rPr>
                <w:b/>
                <w:sz w:val="16"/>
              </w:rPr>
              <w:t>Evidencia de cumplimiento</w:t>
            </w:r>
          </w:p>
        </w:tc>
      </w:tr>
      <w:tr>
        <w:tc>
          <w:tcPr>
            <w:tcW w:type="dxa" w:w="1863"/>
          </w:tcPr>
          <w:p>
            <w:r>
              <w:rPr>
                <w:b w:val="0"/>
                <w:sz w:val="16"/>
              </w:rPr>
              <w:t>Formación y capital humano</w:t>
            </w:r>
          </w:p>
        </w:tc>
        <w:tc>
          <w:tcPr>
            <w:tcW w:type="dxa" w:w="1863"/>
          </w:tcPr>
          <w:p>
            <w:r>
              <w:rPr>
                <w:b w:val="0"/>
                <w:sz w:val="16"/>
              </w:rPr>
              <w:t>Identificar puestos de obra, mantenimiento y gestión; acordar formación y prácticas remuneradas con un centro técnico local. Responde a la debilidad del empleo formal.</w:t>
            </w:r>
          </w:p>
        </w:tc>
        <w:tc>
          <w:tcPr>
            <w:tcW w:type="dxa" w:w="1863"/>
          </w:tcPr>
          <w:p>
            <w:r>
              <w:rPr>
                <w:b w:val="0"/>
                <w:sz w:val="16"/>
              </w:rPr>
              <w:t>Acorn como promotor propuesto, contratista y centro técnico seleccionado</w:t>
            </w:r>
          </w:p>
        </w:tc>
        <w:tc>
          <w:tcPr>
            <w:tcW w:type="dxa" w:w="1863"/>
          </w:tcPr>
          <w:p>
            <w:r>
              <w:rPr>
                <w:b w:val="0"/>
                <w:sz w:val="16"/>
              </w:rPr>
              <w:t>Definir perfiles y convenio en meses 0–6; ejecutar durante obra y operación</w:t>
            </w:r>
          </w:p>
        </w:tc>
        <w:tc>
          <w:tcPr>
            <w:tcW w:type="dxa" w:w="1863"/>
          </w:tcPr>
          <w:p>
            <w:r>
              <w:rPr>
                <w:b w:val="0"/>
                <w:sz w:val="16"/>
              </w:rPr>
              <w:t>Convenio firmado; personas formadas y contratadas; seguimiento de continuidad laboral</w:t>
            </w:r>
          </w:p>
        </w:tc>
      </w:tr>
      <w:tr>
        <w:tc>
          <w:tcPr>
            <w:tcW w:type="dxa" w:w="1863"/>
          </w:tcPr>
          <w:p>
            <w:r>
              <w:rPr>
                <w:b w:val="0"/>
                <w:sz w:val="16"/>
              </w:rPr>
              <w:t>Marco legislativo y regulatorio</w:t>
            </w:r>
          </w:p>
        </w:tc>
        <w:tc>
          <w:tcPr>
            <w:tcW w:type="dxa" w:w="1863"/>
          </w:tcPr>
          <w:p>
            <w:r>
              <w:rPr>
                <w:b w:val="0"/>
                <w:sz w:val="16"/>
              </w:rPr>
              <w:t>Revisar título, duración del derecho sobre el suelo, uso permitido y estructura de inversión; elaborar contratos con cargos comprensibles y registrar permisos. Responde a los problemas de seguridad jurídica y gobernanza.</w:t>
            </w:r>
          </w:p>
        </w:tc>
        <w:tc>
          <w:tcPr>
            <w:tcW w:type="dxa" w:w="1863"/>
          </w:tcPr>
          <w:p>
            <w:r>
              <w:rPr>
                <w:b w:val="0"/>
                <w:sz w:val="16"/>
              </w:rPr>
              <w:t>Asesoría jurídica local, sociedad promotora y autoridades competentes del condado de Nairobi</w:t>
            </w:r>
          </w:p>
        </w:tc>
        <w:tc>
          <w:tcPr>
            <w:tcW w:type="dxa" w:w="1863"/>
          </w:tcPr>
          <w:p>
            <w:r>
              <w:rPr>
                <w:b w:val="0"/>
                <w:sz w:val="16"/>
              </w:rPr>
              <w:t>Revisión inicial en meses 0–6; autorizaciones antes de cada fase</w:t>
            </w:r>
          </w:p>
        </w:tc>
        <w:tc>
          <w:tcPr>
            <w:tcW w:type="dxa" w:w="1863"/>
          </w:tcPr>
          <w:p>
            <w:r>
              <w:rPr>
                <w:b w:val="0"/>
                <w:sz w:val="16"/>
              </w:rPr>
              <w:t>Informe jurídico; título y uso comprobados; resoluciones administrativas; contratos revisados</w:t>
            </w:r>
          </w:p>
        </w:tc>
      </w:tr>
      <w:tr>
        <w:tc>
          <w:tcPr>
            <w:tcW w:type="dxa" w:w="1863"/>
          </w:tcPr>
          <w:p>
            <w:r>
              <w:rPr>
                <w:b w:val="0"/>
                <w:sz w:val="16"/>
              </w:rPr>
              <w:t>Infraestructura y clima</w:t>
            </w:r>
          </w:p>
        </w:tc>
        <w:tc>
          <w:tcPr>
            <w:tcW w:type="dxa" w:w="1863"/>
          </w:tcPr>
          <w:p>
            <w:r>
              <w:rPr>
                <w:b w:val="0"/>
                <w:sz w:val="16"/>
              </w:rPr>
              <w:t>Comparar parcelas por agua, saneamiento, drenaje, electricidad, transporte y seguridad peatonal; descartar ubicaciones sin soluciones técnicas y financieras viables. Responde a los riesgos climáticos y a las carencias de servicios.</w:t>
            </w:r>
          </w:p>
        </w:tc>
        <w:tc>
          <w:tcPr>
            <w:tcW w:type="dxa" w:w="1863"/>
          </w:tcPr>
          <w:p>
            <w:r>
              <w:rPr>
                <w:b w:val="0"/>
                <w:sz w:val="16"/>
              </w:rPr>
              <w:t>Equipo técnico de Acorn, operadores de servicios y condado de Nairobi</w:t>
            </w:r>
          </w:p>
        </w:tc>
        <w:tc>
          <w:tcPr>
            <w:tcW w:type="dxa" w:w="1863"/>
          </w:tcPr>
          <w:p>
            <w:r>
              <w:rPr>
                <w:b w:val="0"/>
                <w:sz w:val="16"/>
              </w:rPr>
              <w:t>Evaluación en meses 0–6; soluciones y costes definidos antes de aprobar la obra</w:t>
            </w:r>
          </w:p>
        </w:tc>
        <w:tc>
          <w:tcPr>
            <w:tcW w:type="dxa" w:w="1863"/>
          </w:tcPr>
          <w:p>
            <w:r>
              <w:rPr>
                <w:b w:val="0"/>
                <w:sz w:val="16"/>
              </w:rPr>
              <w:t>Informe de parcela; evaluación de drenaje; costes y condiciones de conexión documentados</w:t>
            </w:r>
          </w:p>
        </w:tc>
      </w:tr>
      <w:tr>
        <w:tc>
          <w:tcPr>
            <w:tcW w:type="dxa" w:w="1863"/>
          </w:tcPr>
          <w:p>
            <w:r>
              <w:rPr>
                <w:b w:val="0"/>
                <w:sz w:val="16"/>
              </w:rPr>
              <w:t>Incentivos administrativos</w:t>
            </w:r>
          </w:p>
        </w:tc>
        <w:tc>
          <w:tcPr>
            <w:tcW w:type="dxa" w:w="1863"/>
          </w:tcPr>
          <w:p>
            <w:r>
              <w:rPr>
                <w:b w:val="0"/>
                <w:sz w:val="16"/>
              </w:rPr>
              <w:t>Solicitar coordinación de trámites e información clara de requisitos y tasas. Se elige esta vía frente a exenciones fiscales generales por las restricciones fiscales del país.</w:t>
            </w:r>
          </w:p>
        </w:tc>
        <w:tc>
          <w:tcPr>
            <w:tcW w:type="dxa" w:w="1863"/>
          </w:tcPr>
          <w:p>
            <w:r>
              <w:rPr>
                <w:b w:val="0"/>
                <w:sz w:val="16"/>
              </w:rPr>
              <w:t>Promotor, Invest Kenya y condado de Nairobi</w:t>
            </w:r>
          </w:p>
        </w:tc>
        <w:tc>
          <w:tcPr>
            <w:tcW w:type="dxa" w:w="1863"/>
          </w:tcPr>
          <w:p>
            <w:r>
              <w:rPr>
                <w:b w:val="0"/>
                <w:sz w:val="16"/>
              </w:rPr>
              <w:t>Iniciar en meses 0–3 y mantener durante las autorizaciones</w:t>
            </w:r>
          </w:p>
        </w:tc>
        <w:tc>
          <w:tcPr>
            <w:tcW w:type="dxa" w:w="1863"/>
          </w:tcPr>
          <w:p>
            <w:r>
              <w:rPr>
                <w:b w:val="0"/>
                <w:sz w:val="16"/>
              </w:rPr>
              <w:t>Registro de requisitos, solicitudes, incidencias y tiempos; coste de tasas identificado</w:t>
            </w:r>
          </w:p>
        </w:tc>
      </w:tr>
      <w:tr>
        <w:tc>
          <w:tcPr>
            <w:tcW w:type="dxa" w:w="1863"/>
          </w:tcPr>
          <w:p>
            <w:r>
              <w:rPr>
                <w:b w:val="0"/>
                <w:sz w:val="16"/>
              </w:rPr>
              <w:t>Financiación y capacidad de pago</w:t>
            </w:r>
          </w:p>
        </w:tc>
        <w:tc>
          <w:tcPr>
            <w:tcW w:type="dxa" w:w="1863"/>
          </w:tcPr>
          <w:p>
            <w:r>
              <w:rPr>
                <w:b w:val="0"/>
                <w:sz w:val="16"/>
              </w:rPr>
              <w:t>Contrastar alquileres previstos con presupuestos de hogares y costes completos; evaluar menor ocupación, aumento de costes y riesgo cambiario. Responde a informalidad, inflación y dificultades de financiación.</w:t>
            </w:r>
          </w:p>
        </w:tc>
        <w:tc>
          <w:tcPr>
            <w:tcW w:type="dxa" w:w="1863"/>
          </w:tcPr>
          <w:p>
            <w:r>
              <w:rPr>
                <w:b w:val="0"/>
                <w:sz w:val="16"/>
              </w:rPr>
              <w:t>Acorn, inversores potenciales y asesoría financiera</w:t>
            </w:r>
          </w:p>
        </w:tc>
        <w:tc>
          <w:tcPr>
            <w:tcW w:type="dxa" w:w="1863"/>
          </w:tcPr>
          <w:p>
            <w:r>
              <w:rPr>
                <w:b w:val="0"/>
                <w:sz w:val="16"/>
              </w:rPr>
              <w:t>Estudio de hogares en meses 0–6; modelo financiero y decisión en meses 6–12</w:t>
            </w:r>
          </w:p>
        </w:tc>
        <w:tc>
          <w:tcPr>
            <w:tcW w:type="dxa" w:w="1863"/>
          </w:tcPr>
          <w:p>
            <w:r>
              <w:rPr>
                <w:b w:val="0"/>
                <w:sz w:val="16"/>
              </w:rPr>
              <w:t>Estudio de demanda; modelo con escenarios; estructura de financiación y condiciones de aprobación documentadas</w:t>
            </w:r>
          </w:p>
        </w:tc>
      </w:tr>
      <w:tr>
        <w:tc>
          <w:tcPr>
            <w:tcW w:type="dxa" w:w="1863"/>
          </w:tcPr>
          <w:p>
            <w:r>
              <w:rPr>
                <w:b w:val="0"/>
                <w:sz w:val="16"/>
              </w:rPr>
              <w:t>Gestión e impacto</w:t>
            </w:r>
          </w:p>
        </w:tc>
        <w:tc>
          <w:tcPr>
            <w:tcW w:type="dxa" w:w="1863"/>
          </w:tcPr>
          <w:p>
            <w:r>
              <w:rPr>
                <w:b w:val="0"/>
                <w:sz w:val="16"/>
              </w:rPr>
              <w:t>Implantar mantenimiento, registro de cobros digitales y canal de reclamaciones; comprobar compras locales, coste de residencia y posibles desplazamientos. Aprovecha capacidades digitales y aborda desigualdad y calidad del servicio.</w:t>
            </w:r>
          </w:p>
        </w:tc>
        <w:tc>
          <w:tcPr>
            <w:tcW w:type="dxa" w:w="1863"/>
          </w:tcPr>
          <w:p>
            <w:r>
              <w:rPr>
                <w:b w:val="0"/>
                <w:sz w:val="16"/>
              </w:rPr>
              <w:t>Promotor-operador y proveedores</w:t>
            </w:r>
          </w:p>
        </w:tc>
        <w:tc>
          <w:tcPr>
            <w:tcW w:type="dxa" w:w="1863"/>
          </w:tcPr>
          <w:p>
            <w:r>
              <w:rPr>
                <w:b w:val="0"/>
                <w:sz w:val="16"/>
              </w:rPr>
              <w:t>Diseñar antes de abrir; revisar trimestralmente durante el primer año de operación</w:t>
            </w:r>
          </w:p>
        </w:tc>
        <w:tc>
          <w:tcPr>
            <w:tcW w:type="dxa" w:w="1863"/>
          </w:tcPr>
          <w:p>
            <w:r>
              <w:rPr>
                <w:b w:val="0"/>
                <w:sz w:val="16"/>
              </w:rPr>
              <w:t>Registros de mantenimiento y reclamaciones; ocupación y cobros; compras locales; seguimiento del esfuerzo de pago</w:t>
            </w:r>
          </w:p>
        </w:tc>
      </w:tr>
    </w:tbl>
    <w:p>
      <w:r>
        <w:t>La coordinación administrativa no sustituye los controles. La aprobación de planos, las inspecciones y el certificado de ocupación son actuaciones distintas y deben verificarse por separado (Nairobi City County Government, 2025). El plan propone mejorar la preparación y el seguimiento de los expedientes; no atribuye al promotor capacidad para cambiar las normas ni garantiza plazos de resolución.</w:t>
      </w:r>
    </w:p>
    <w:p>
      <w:pPr>
        <w:pStyle w:val="Heading2"/>
      </w:pPr>
      <w:r>
        <w:t>6.4. Decisión de inversión y seguimiento</w:t>
      </w:r>
    </w:p>
    <w:p>
      <w:r>
        <w:t>La primera decisión será seleccionar una parcela y un producto compatibles con los ingresos del público objetivo. La segunda será aprobar un diseño con servicios, costes y permisos comprobados. Solo después se negociará el cierre de la financiación y la contratación de la obra. En cada fase se podrá detener o reformular la operación si no cumple las condiciones mínimas.</w:t>
      </w:r>
    </w:p>
    <w:p>
      <w:r>
        <w:t>El modelo financiero incluirá suelo, construcción, financiación, mantenimiento, seguros, gestión y periodos sin ocupación. Se comprobará si el proyecto puede sostenerse con menor ocupación, retrasos y aumentos de costes. Cuando existan obligaciones en divisas, se documentará cómo se limita el desajuste con ingresos en chelines, sin presuponer que haya cobertura disponible.</w:t>
      </w:r>
    </w:p>
    <w:p>
      <w:r>
        <w:t>Antes de aprobar la construcción deberán quedar documentadas la seguridad jurídica de la parcela, la viabilidad de los servicios, una demanda compatible con el coste total de residencia y una financiación identificada. No se contará con exenciones fiscales o infraestructura pública sin respaldo confirmado. Las metas de ocupación, mantenimiento y esfuerzo de pago se fijarán con el estudio inicial y se incorporarán al seguimiento del operador.</w:t>
      </w:r>
    </w:p>
    <w:p>
      <w:r>
        <w:t>La apuesta final es impulsar alquiler de larga duración con Acorn como cabecera, Riruta como zona inicial de estudio y capital asociado a un operador local. El criterio para avanzar será que las capacidades empresariales se traduzcan en una operación sostenible y en mejores condiciones residenciales para los trabajadores. La rentabilidad, el servicio y el impacto sobre los residentes se evaluarán conjuntamente.</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spacing w:line="480" w:lineRule="auto" w:before="0" w:after="0"/>
        <w:ind w:left="720" w:hanging="720"/>
      </w:pPr>
      <w:r>
        <w:rPr>
          <w:i w:val="0"/>
          <w:sz w:val="22"/>
        </w:rPr>
        <w:t xml:space="preserve">Acemoglu, D., &amp; Robinson, J. A. (2012). </w:t>
      </w:r>
      <w:r>
        <w:rPr>
          <w:i/>
          <w:sz w:val="22"/>
        </w:rPr>
        <w:t>Why nations fail: The origins of power, prosperity, and poverty</w:t>
      </w:r>
      <w:r>
        <w:rPr>
          <w:i w:val="0"/>
          <w:sz w:val="22"/>
        </w:rPr>
        <w:t>. Crown. https://www.penguinrandomhouseretail.com/book/?isbn=9780307719218</w:t>
      </w:r>
    </w:p>
    <w:p>
      <w:pPr>
        <w:spacing w:line="480" w:lineRule="auto" w:before="0" w:after="0"/>
        <w:ind w:left="720" w:hanging="720"/>
      </w:pPr>
      <w:r>
        <w:rPr>
          <w:i w:val="0"/>
          <w:sz w:val="22"/>
        </w:rPr>
        <w:t xml:space="preserve">Acorn Holdings. (s. f.). </w:t>
      </w:r>
      <w:r>
        <w:rPr>
          <w:i/>
          <w:sz w:val="22"/>
        </w:rPr>
        <w:t>Overview</w:t>
      </w:r>
      <w:r>
        <w:rPr>
          <w:i w:val="0"/>
          <w:sz w:val="22"/>
        </w:rPr>
        <w:t>. Recuperado el 21 de octubre de 2026, de https://acornholdingsafrica.com/overview/</w:t>
      </w:r>
    </w:p>
    <w:p>
      <w:pPr>
        <w:spacing w:line="480" w:lineRule="auto" w:before="0" w:after="0"/>
        <w:ind w:left="720" w:hanging="720"/>
      </w:pPr>
      <w:r>
        <w:rPr>
          <w:i w:val="0"/>
          <w:sz w:val="22"/>
        </w:rPr>
        <w:t xml:space="preserve">Banco Mundial. (2020). </w:t>
      </w:r>
      <w:r>
        <w:rPr>
          <w:i/>
          <w:sz w:val="22"/>
        </w:rPr>
        <w:t>Kenya systematic country diagnostic</w:t>
      </w:r>
      <w:r>
        <w:rPr>
          <w:i w:val="0"/>
          <w:sz w:val="22"/>
        </w:rPr>
        <w:t>. https://documents1.worldbank.org/curated/en/531731600090213005/pdf/kenya-systematic-country-diagnostic.pdf</w:t>
      </w:r>
    </w:p>
    <w:p>
      <w:pPr>
        <w:spacing w:line="480" w:lineRule="auto" w:before="0" w:after="0"/>
        <w:ind w:left="720" w:hanging="720"/>
      </w:pPr>
      <w:r>
        <w:rPr>
          <w:i w:val="0"/>
          <w:sz w:val="22"/>
        </w:rPr>
        <w:t xml:space="preserve">Banco Mundial. (2024, 10 de diciembre). </w:t>
      </w:r>
      <w:r>
        <w:rPr>
          <w:i/>
          <w:sz w:val="22"/>
        </w:rPr>
        <w:t>Reforms are needed to stem a slow-down in Kenya’s economic growth</w:t>
      </w:r>
      <w:r>
        <w:rPr>
          <w:i w:val="0"/>
          <w:sz w:val="22"/>
        </w:rPr>
        <w:t>. https://www.worldbank.org/en/news/press-release/2024/12/10/reforms-are-needed-to-stem-a-slow-down-in-afe-kenya-s-economic-growth</w:t>
      </w:r>
    </w:p>
    <w:p>
      <w:pPr>
        <w:spacing w:line="480" w:lineRule="auto" w:before="0" w:after="0"/>
        <w:ind w:left="720" w:hanging="720"/>
      </w:pPr>
      <w:r>
        <w:rPr>
          <w:i w:val="0"/>
          <w:sz w:val="22"/>
        </w:rPr>
        <w:t xml:space="preserve">Banco Mundial. (2025). </w:t>
      </w:r>
      <w:r>
        <w:rPr>
          <w:i/>
          <w:sz w:val="22"/>
        </w:rPr>
        <w:t>Kenya economic update 32: From barriers to bridges—Procompetitive reforms for productivity and jobs in Kenya</w:t>
      </w:r>
      <w:r>
        <w:rPr>
          <w:i w:val="0"/>
          <w:sz w:val="22"/>
        </w:rPr>
        <w:t>. https://documents1.worldbank.org/curated/en/099112125062524216/pdf/P507067-4f692fc7-8081-4630-9dd2-d3768ce9defc.pdf</w:t>
      </w:r>
    </w:p>
    <w:p>
      <w:pPr>
        <w:spacing w:line="480" w:lineRule="auto" w:before="0" w:after="0"/>
        <w:ind w:left="720" w:hanging="720"/>
      </w:pPr>
      <w:r>
        <w:rPr>
          <w:i w:val="0"/>
          <w:sz w:val="22"/>
        </w:rPr>
        <w:t xml:space="preserve">Central Bank of Kenya. (s. f.). </w:t>
      </w:r>
      <w:r>
        <w:rPr>
          <w:i/>
          <w:sz w:val="22"/>
        </w:rPr>
        <w:t>Annual GDP</w:t>
      </w:r>
      <w:r>
        <w:rPr>
          <w:i w:val="0"/>
          <w:sz w:val="22"/>
        </w:rPr>
        <w:t>. Recuperado el 21 de octubre de 2026, de https://www.centralbank.go.ke/annual-gdp/</w:t>
      </w:r>
    </w:p>
    <w:p>
      <w:pPr>
        <w:spacing w:line="480" w:lineRule="auto" w:before="0" w:after="0"/>
        <w:ind w:left="720" w:hanging="720"/>
      </w:pPr>
      <w:r>
        <w:rPr>
          <w:i w:val="0"/>
          <w:sz w:val="22"/>
        </w:rPr>
        <w:t xml:space="preserve">Centric Africa Ltd. (2025). </w:t>
      </w:r>
      <w:r>
        <w:rPr>
          <w:i/>
          <w:sz w:val="22"/>
        </w:rPr>
        <w:t>Environmental and social impact assessment study report for the proposed Riruta Keza IHS housing developments</w:t>
      </w:r>
      <w:r>
        <w:rPr>
          <w:i w:val="0"/>
          <w:sz w:val="22"/>
        </w:rPr>
        <w:t>. National Environment Management Authority. https://nema.go.ke/wp-content/uploads/2025/12/IHS-Riruta-Housing_00288-min.pdf</w:t>
      </w:r>
    </w:p>
    <w:p>
      <w:pPr>
        <w:spacing w:line="480" w:lineRule="auto" w:before="0" w:after="0"/>
        <w:ind w:left="720" w:hanging="720"/>
      </w:pPr>
      <w:r>
        <w:rPr>
          <w:i w:val="0"/>
          <w:sz w:val="22"/>
        </w:rPr>
        <w:t>Constitution of Kenya, art. 65 (2010). Kenya Law Reform Commission. https://www.klrc.go.ke/index.php/constitution-of-kenya/116-chapter-five-land-and-environment/117-part-1-land/232-65-landholding-by-non-citizens</w:t>
      </w:r>
    </w:p>
    <w:p>
      <w:pPr>
        <w:spacing w:line="480" w:lineRule="auto" w:before="0" w:after="0"/>
        <w:ind w:left="720" w:hanging="720"/>
      </w:pPr>
      <w:r>
        <w:rPr>
          <w:i w:val="0"/>
          <w:sz w:val="22"/>
        </w:rPr>
        <w:t xml:space="preserve">East African Community. (s. f.). </w:t>
      </w:r>
      <w:r>
        <w:rPr>
          <w:i/>
          <w:sz w:val="22"/>
        </w:rPr>
        <w:t>EAC at a glance</w:t>
      </w:r>
      <w:r>
        <w:rPr>
          <w:i w:val="0"/>
          <w:sz w:val="22"/>
        </w:rPr>
        <w:t>. Recuperado el 21 de octubre de 2026, de https://www.eac.int/component/content/?Itemid=89</w:t>
      </w:r>
    </w:p>
    <w:p>
      <w:pPr>
        <w:spacing w:line="480" w:lineRule="auto" w:before="0" w:after="0"/>
        <w:ind w:left="720" w:hanging="720"/>
      </w:pPr>
      <w:r>
        <w:rPr>
          <w:i w:val="0"/>
          <w:sz w:val="22"/>
        </w:rPr>
        <w:t xml:space="preserve">Freedom House. (2026). </w:t>
      </w:r>
      <w:r>
        <w:rPr>
          <w:i/>
          <w:sz w:val="22"/>
        </w:rPr>
        <w:t>Freedom in the world 2026: Kenya</w:t>
      </w:r>
      <w:r>
        <w:rPr>
          <w:i w:val="0"/>
          <w:sz w:val="22"/>
        </w:rPr>
        <w:t>. https://freedomhouse.org/country/kenya/freedom-world/2026</w:t>
      </w:r>
    </w:p>
    <w:p>
      <w:pPr>
        <w:spacing w:line="480" w:lineRule="auto" w:before="0" w:after="0"/>
        <w:ind w:left="720" w:hanging="720"/>
      </w:pPr>
      <w:r>
        <w:rPr>
          <w:i w:val="0"/>
          <w:sz w:val="22"/>
        </w:rPr>
        <w:t xml:space="preserve">Gamba, P., &amp; Kibaara, B. (2007). </w:t>
      </w:r>
      <w:r>
        <w:rPr>
          <w:i/>
          <w:sz w:val="22"/>
        </w:rPr>
        <w:t>Structural implications of economic liberalization on agriculture and rural development: RuralStruc program, phase I</w:t>
      </w:r>
      <w:r>
        <w:rPr>
          <w:i w:val="0"/>
          <w:sz w:val="22"/>
        </w:rPr>
        <w:t>. Egerton University, Tegemeo Institute. https://documents1.worldbank.org/curated/en/886221468048846460/pdf/779820WP0KENYA00Box377319B00PUBLIC0.pdf</w:t>
      </w:r>
    </w:p>
    <w:p>
      <w:pPr>
        <w:spacing w:line="480" w:lineRule="auto" w:before="0" w:after="0"/>
        <w:ind w:left="720" w:hanging="720"/>
      </w:pPr>
      <w:r>
        <w:rPr>
          <w:i w:val="0"/>
          <w:sz w:val="22"/>
        </w:rPr>
        <w:t xml:space="preserve">International Finance Corporation. (2024). </w:t>
      </w:r>
      <w:r>
        <w:rPr>
          <w:i/>
          <w:sz w:val="22"/>
        </w:rPr>
        <w:t>IHS Kenya: Environmental and social review summary (Project 47136)</w:t>
      </w:r>
      <w:r>
        <w:rPr>
          <w:i w:val="0"/>
          <w:sz w:val="22"/>
        </w:rPr>
        <w:t>. https://disclosures.ifc.org/project-detail/ESRS/47136/co</w:t>
      </w:r>
    </w:p>
    <w:p>
      <w:pPr>
        <w:spacing w:line="480" w:lineRule="auto" w:before="0" w:after="0"/>
        <w:ind w:left="720" w:hanging="720"/>
      </w:pPr>
      <w:r>
        <w:rPr>
          <w:i w:val="0"/>
          <w:sz w:val="22"/>
        </w:rPr>
        <w:t xml:space="preserve">Kenya National Bureau of Statistics. (2025). </w:t>
      </w:r>
      <w:r>
        <w:rPr>
          <w:i/>
          <w:sz w:val="22"/>
        </w:rPr>
        <w:t>Gross county product 2025</w:t>
      </w:r>
      <w:r>
        <w:rPr>
          <w:i w:val="0"/>
          <w:sz w:val="22"/>
        </w:rPr>
        <w:t>. https://www.knbs.or.ke/wp-content/uploads/2025/12/2025-Gross-County-Product.pdf</w:t>
      </w:r>
    </w:p>
    <w:p>
      <w:pPr>
        <w:spacing w:line="480" w:lineRule="auto" w:before="0" w:after="0"/>
        <w:ind w:left="720" w:hanging="720"/>
      </w:pPr>
      <w:r>
        <w:rPr>
          <w:i w:val="0"/>
          <w:sz w:val="22"/>
        </w:rPr>
        <w:t xml:space="preserve">Kenya National Bureau of Statistics. (2026). </w:t>
      </w:r>
      <w:r>
        <w:rPr>
          <w:i/>
          <w:sz w:val="22"/>
        </w:rPr>
        <w:t>Economic survey 2026</w:t>
      </w:r>
      <w:r>
        <w:rPr>
          <w:i w:val="0"/>
          <w:sz w:val="22"/>
        </w:rPr>
        <w:t>. https://www.knbs.or.ke/reports/2026-economic-survey/</w:t>
      </w:r>
    </w:p>
    <w:p>
      <w:pPr>
        <w:spacing w:line="480" w:lineRule="auto" w:before="0" w:after="0"/>
        <w:ind w:left="720" w:hanging="720"/>
      </w:pPr>
      <w:r>
        <w:rPr>
          <w:i w:val="0"/>
          <w:sz w:val="22"/>
        </w:rPr>
      </w:r>
      <w:r>
        <w:rPr>
          <w:i/>
          <w:sz w:val="22"/>
        </w:rPr>
        <w:t>Kenya national human development report 2006: Human security and human development—A deliberate choice</w:t>
      </w:r>
      <w:r>
        <w:rPr>
          <w:i w:val="0"/>
          <w:sz w:val="22"/>
        </w:rPr>
        <w:t>. (2006). https://hdr.undp.org/system/files/documents/kenya2006en.pdf</w:t>
      </w:r>
    </w:p>
    <w:p>
      <w:pPr>
        <w:spacing w:line="480" w:lineRule="auto" w:before="0" w:after="0"/>
        <w:ind w:left="720" w:hanging="720"/>
      </w:pPr>
      <w:r>
        <w:rPr>
          <w:i w:val="0"/>
          <w:sz w:val="22"/>
        </w:rPr>
        <w:t xml:space="preserve">Nairobi City County Government. (2025, junio). </w:t>
      </w:r>
      <w:r>
        <w:rPr>
          <w:i/>
          <w:sz w:val="22"/>
        </w:rPr>
        <w:t>Customer service charter</w:t>
      </w:r>
      <w:r>
        <w:rPr>
          <w:i w:val="0"/>
          <w:sz w:val="22"/>
        </w:rPr>
        <w:t>. https://nairobi.go.ke/wp-content/uploads/NCCG_Service_Charter_2025.pdf</w:t>
      </w:r>
    </w:p>
    <w:p>
      <w:pPr>
        <w:spacing w:line="480" w:lineRule="auto" w:before="0" w:after="0"/>
        <w:ind w:left="720" w:hanging="720"/>
      </w:pPr>
      <w:r>
        <w:rPr>
          <w:i w:val="0"/>
          <w:sz w:val="22"/>
        </w:rPr>
        <w:t xml:space="preserve">National Council for Population and Development. (2025, 12 de marzo). </w:t>
      </w:r>
      <w:r>
        <w:rPr>
          <w:i/>
          <w:sz w:val="22"/>
        </w:rPr>
        <w:t>Press release</w:t>
      </w:r>
      <w:r>
        <w:rPr>
          <w:i w:val="0"/>
          <w:sz w:val="22"/>
        </w:rPr>
        <w:t>. https://ncpd.go.ke/2025/03/12/press-release/</w:t>
      </w:r>
    </w:p>
    <w:p>
      <w:pPr>
        <w:spacing w:line="480" w:lineRule="auto" w:before="0" w:after="0"/>
        <w:ind w:left="720" w:hanging="720"/>
      </w:pPr>
      <w:r>
        <w:rPr>
          <w:i w:val="0"/>
          <w:sz w:val="22"/>
        </w:rPr>
        <w:t xml:space="preserve">The National Treasury. (2025). </w:t>
      </w:r>
      <w:r>
        <w:rPr>
          <w:i/>
          <w:sz w:val="22"/>
        </w:rPr>
        <w:t>Budget review and outlook paper</w:t>
      </w:r>
      <w:r>
        <w:rPr>
          <w:i w:val="0"/>
          <w:sz w:val="22"/>
        </w:rPr>
        <w:t>. https://www.treasury.go.ke/wp-content/uploads/2025/10/2025-Budget-Review-and-Outlook-Paper.pdf</w:t>
      </w:r>
    </w:p>
    <w:p>
      <w:pPr>
        <w:spacing w:line="480" w:lineRule="auto" w:before="0" w:after="0"/>
        <w:ind w:left="720" w:hanging="720"/>
      </w:pPr>
      <w:r>
        <w:rPr>
          <w:i w:val="0"/>
          <w:sz w:val="22"/>
        </w:rPr>
        <w:t xml:space="preserve">Private Infrastructure Development Group. (2025, 17 de noviembre). </w:t>
      </w:r>
      <w:r>
        <w:rPr>
          <w:i/>
          <w:sz w:val="22"/>
        </w:rPr>
        <w:t>PIDG anchors Acorn’s new REIT to finance affordable housing for Kenya’s young urbanites</w:t>
      </w:r>
      <w:r>
        <w:rPr>
          <w:i w:val="0"/>
          <w:sz w:val="22"/>
        </w:rPr>
        <w:t>. https://pidg.org/pidg-anchors-acorns-new-reit-to-finance-affordable-housing-for-kenyas-young-urbanites/</w:t>
      </w:r>
    </w:p>
    <w:p>
      <w:pPr>
        <w:spacing w:line="480" w:lineRule="auto" w:before="0" w:after="0"/>
        <w:ind w:left="720" w:hanging="720"/>
      </w:pPr>
      <w:r>
        <w:rPr>
          <w:i w:val="0"/>
          <w:sz w:val="22"/>
        </w:rPr>
        <w:t xml:space="preserve">Robinson, H. J., Mwangi, B., &amp; Atkinson, B. (2025, 24 de febrero). </w:t>
      </w:r>
      <w:r>
        <w:rPr>
          <w:i/>
          <w:sz w:val="22"/>
        </w:rPr>
        <w:t>Understanding the tenants of Fusion Capital’s rental properties in Nairobi, Kenya</w:t>
      </w:r>
      <w:r>
        <w:rPr>
          <w:i w:val="0"/>
          <w:sz w:val="22"/>
        </w:rPr>
        <w:t>. Reall. https://reall.net/blog/understanding-the-tenants-of-fusion-capitals-rental-properties-in-nairobi-kenya/</w:t>
      </w:r>
    </w:p>
    <w:p>
      <w:pPr>
        <w:spacing w:line="480" w:lineRule="auto" w:before="0" w:after="0"/>
        <w:ind w:left="720" w:hanging="720"/>
      </w:pPr>
      <w:r>
        <w:rPr>
          <w:i w:val="0"/>
          <w:sz w:val="22"/>
        </w:rPr>
        <w:t xml:space="preserve">Shah, S., Zamara, &amp; Centre for Affordable Housing Finance in Africa. (2026, 19 de mayo). </w:t>
      </w:r>
      <w:r>
        <w:rPr>
          <w:i/>
          <w:sz w:val="22"/>
        </w:rPr>
        <w:t>Affordable housing access for Kenya’s formal workforce: What pension data reveals and what can work</w:t>
      </w:r>
      <w:r>
        <w:rPr>
          <w:i w:val="0"/>
          <w:sz w:val="22"/>
        </w:rPr>
        <w:t>. FSD Kenya. https://www.fsdkenya.org/blogs-publications/publications/affordable-housing-access-for-kenyas-formal-workforce-what-pension-data-reveals-and-what-can-work/</w:t>
      </w:r>
    </w:p>
    <w:p>
      <w:pPr>
        <w:spacing w:line="480" w:lineRule="auto" w:before="0" w:after="0"/>
        <w:ind w:left="720" w:hanging="720"/>
      </w:pPr>
      <w:r>
        <w:rPr>
          <w:i w:val="0"/>
          <w:sz w:val="22"/>
        </w:rPr>
        <w:t xml:space="preserve">United Nations Conference on Trade and Development. (2025a). </w:t>
      </w:r>
      <w:r>
        <w:rPr>
          <w:i/>
          <w:sz w:val="22"/>
        </w:rPr>
        <w:t>COMESA investment report 2025: Investment trends and policy insights</w:t>
      </w:r>
      <w:r>
        <w:rPr>
          <w:i w:val="0"/>
          <w:sz w:val="22"/>
        </w:rPr>
        <w:t>. https://unctad.org/system/files/official-document/diae2025d2_en.pdf</w:t>
      </w:r>
    </w:p>
    <w:p>
      <w:pPr>
        <w:spacing w:line="480" w:lineRule="auto" w:before="0" w:after="0"/>
        <w:ind w:left="720" w:hanging="720"/>
      </w:pPr>
      <w:r>
        <w:rPr>
          <w:i w:val="0"/>
          <w:sz w:val="22"/>
        </w:rPr>
        <w:t xml:space="preserve">United Nations Conference on Trade and Development. (2025b). </w:t>
      </w:r>
      <w:r>
        <w:rPr>
          <w:i/>
          <w:sz w:val="22"/>
        </w:rPr>
        <w:t>World investment report 2025: Country fact sheet—Kenya</w:t>
      </w:r>
      <w:r>
        <w:rPr>
          <w:i w:val="0"/>
          <w:sz w:val="22"/>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