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Kenia y la vivienda de alquiler en Nairobi</w:t>
      </w:r>
    </w:p>
    <w:p>
      <w:pPr>
        <w:pStyle w:val="Heading1"/>
      </w:pPr>
      <w:r>
        <w:t>1. Introducción</w:t>
      </w:r>
    </w:p>
    <w:p>
      <w:pPr>
        <w:jc w:val="both"/>
      </w:pPr>
      <w:r>
        <w:t>Kenia alcanzó la independencia en 1963 con una economía y unas relaciones de acceso a la tierra marcadas por el dominio colonial. La expansión de la agricultura y la intervención pública dieron paso, desde los años ochenta, a reformas de liberalización y a una mayor participación privada (Gamba &amp; Kibaara, 2007). El crecimiento posterior de los servicios y la innovación ha convivido con diferencias de acceso al empleo y a las oportunidades.</w:t>
      </w:r>
    </w:p>
    <w:p>
      <w:pPr>
        <w:jc w:val="both"/>
      </w:pPr>
      <w:r>
        <w:t>Kenia celebra elecciones multipartidistas competitivas, cuenta con una sociedad civil activa y tiene un poder judicial que ha demostrado cierta independencia frente al Gobierno. Sin embargo, la corrupción, el predominio del Ejecutivo y los incumplimientos de decisiones judiciales debilitan los contrapesos institucionales, así como el uso político de las fuerzas de seguridad y la escasa rendición de cuentas. Freedom House considera al país parcialmente libre en 2026 y describe elecciones competitivas junto con problemas de corrupción y actuación de las fuerzas de seguridad, lo que cuestiona la equivalencia entre dinamismo económico y calidad institucional (Freedom House, 2026).</w:t>
      </w:r>
    </w:p>
    <w:p>
      <w:pPr>
        <w:jc w:val="both"/>
      </w:pPr>
      <w:r>
        <w:t>La propuesta de vivienda destinada al alquiler se plantea como una intervención para que las oportunidades económicas de Kenia se traduzcan en mejoras concretas de bienestar. Su justificación requiere identificar una demanda residencial insuficientemente atendida: Kenia presenta un déficit estimado superior a dos millones de viviendas y la demanda aumenta en aproximadamente 250.000 hogares anuales, mientras que la nueva oferta ha promediado menos de 50.000 viviendas al año (World Bank, 2025a). Esto se suma a las habituales dificultades de acceso al crédito hipotecario. Además, la concentración de actividades comerciales, industriales y de servicios en Nairobi proporciona una base económica para estudiar vivienda de alquiler dirigida a trabajadores (Kenya National Bureau of Statistics, 2025b).</w:t>
      </w:r>
    </w:p>
    <w:p>
      <w:pPr>
        <w:pStyle w:val="Heading1"/>
      </w:pPr>
      <w:r>
        <w:t>2. Características del mercado e integración regional</w:t>
      </w:r>
    </w:p>
    <w:p>
      <w:pPr>
        <w:jc w:val="both"/>
      </w:pPr>
      <w:r>
        <w:t>Kenia es un mercado de 53,3 millones de habitantes según la proyección demográfica nacional para 2025, con un crecimiento demográfico anual del 1,9 % y un 36,3 % de población menor de 15 años (Kenya National Bureau of Statistics, 2026; National Council for Population and Development, 2025).</w:t>
      </w:r>
    </w:p>
    <w:p>
      <w:pPr>
        <w:jc w:val="both"/>
      </w:pPr>
      <w:r>
        <w:t>El PIB nominal alcanzó aproximadamente 17,58 billones de chelines en 2025, mientras que el PIB real creció un 4,6 %, frente al 4,7 % de 2024 (Central Bank of Kenya, s. f.; Kenya National Bureau of Statistics, 2026). En cuanto a la estructura productiva, los servicios representaron el 58,9 % del valor añadido bruto, seguidos de la agricultura, con un 23,2 %, y la industria, con un 17,9 %. Esta composición muestra una economía diversificada, aunque con un peso todavía importante de la agricultura (Central Bank of Kenya, s. f.; Kenya National Bureau of Statistics, 2026). La estructura económica presenta además una importante concentración territorial: Nairobi generó el 27,4 % del valor añadido bruto de Kenia en 2024 y aportó, en promedio, el 37,6 % del valor añadido nacional de los servicios durante 2020–2024 (Kenya National Bureau of Statistics, 2025b).</w:t>
      </w:r>
    </w:p>
    <w:p>
      <w:pPr>
        <w:jc w:val="both"/>
      </w:pPr>
      <w:r>
        <w:t>La situación fiscal de Kenia está sometida a una presión creciente. La deuda pública se ha situado en torno al 65 % del PIB. Por su parte, la capacidad del Gobierno para aumentar la recaudación mediante impuestos internos es limitada, como ponen de manifiesto las protestas generalizadas contra el Gobierno desde 2024. Actualmente, los pagos de intereses representan aproximadamente un tercio de los ingresos públicos, mientras que la calificación crediticia de Kenia, inferior al grado de inversión, encarece el crédito en el conjunto de la economía, incluido el sector de la vivienda (World Bank, 2025b).</w:t>
      </w:r>
    </w:p>
    <w:p>
      <w:pPr>
        <w:jc w:val="both"/>
      </w:pPr>
      <w:r>
        <w:t>Por otro lado, la mayor parte del empleo creado en 2025 se concentró en el sector informal (Kenya National Bureau of Statistics, 2026). Este patrón plantea una cuestión institucional: hasta qué punto las oportunidades de producir y trabajar van acompañadas de acceso a financiación, protección jurídica y protección social. Desde el enfoque de Acemoglu y Robinson (2012), el carácter inclusivo del crecimiento depende de que las instituciones amplíen esas oportunidades a distintos grupos. Para el mercado residencial, la concentración de actividad y las condiciones de empleo son relevantes porque influyen en la localización de la demanda y en la capacidad de los hogares para acceder a una vivienda.</w:t>
      </w:r>
    </w:p>
    <w:p>
      <w:pPr>
        <w:jc w:val="both"/>
      </w:pPr>
      <w:r>
        <w:t>Kenia desempeña un papel activo en la integración africana a través de distintos marcos de cooperación. Participa en la Unión Africana, donde William Ruto fue designado en febrero de 2024 para impulsar la reforma institucional (President of the Republic of Kenya, 2024). En el ámbito subregional, Kenia pertenece a la Comunidad de África Oriental (East African Community, s. f.).</w:t>
      </w:r>
    </w:p>
    <w:p>
      <w:pPr>
        <w:jc w:val="both"/>
      </w:pPr>
      <w:r>
        <w:t>Respecto a la Zona de Libre Comercio Continental Africana, Kenia ha participado en la aplicación práctica del acuerdo mediante la Iniciativa de Comercio Guiado. En octubre de 2022 realizó su primer envío comercial a Ghana bajo este marco, lo que refleja su implicación en la ampliación de los intercambios comerciales más allá de su entorno subregional (Kenya Revenue Authority, s. f.).</w:t>
      </w:r>
    </w:p>
    <w:p>
      <w:pPr>
        <w:jc w:val="both"/>
      </w:pPr>
      <w:r>
        <w:t>La participación de Kenia en la integración regional y continental puede reforzar su atractivo como localización empresarial y favorecer la movilidad laboral. Para el mercado residencial, estas dinámicas podrían traducirse en una mayor demanda de alquiler próximo a los centros de empleo.</w:t>
      </w:r>
    </w:p>
    <w:p>
      <w:pPr>
        <w:pStyle w:val="Heading1"/>
      </w:pPr>
      <w:r>
        <w:t>3. Activos productivos y condiciones para invertir</w:t>
      </w:r>
    </w:p>
    <w:p>
      <w:pPr>
        <w:jc w:val="both"/>
      </w:pPr>
      <w:r>
        <w:t>Las entradas de inversión extranjera directa en Kenia alcanzaron 1.503 millones de dólares en 2024, cifra redondeada a 1.500 millones en otra publicación del mismo organismo (United Nations Conference on Trade and Development, 2025a, 2025b).</w:t>
      </w:r>
    </w:p>
    <w:p>
      <w:pPr>
        <w:jc w:val="both"/>
      </w:pPr>
      <w:r>
        <w:t>En cuanto a los recursos naturales y energéticos, Kenia cuenta con una base de generación eléctrica sustentada principalmente en la geotermia, la hidroelectricidad, el viento y la energía solar  (International Energy Agency, 2025; International Trade Administration, 2024a). Respecto a las infraestructuras, el puerto de Mombasa y el Corredor Norte conectan Kenia con Uganda, Ruanda, Burundi y el este de la República Democrática del Congo (East African Community, s. f.; Kenya Ports Authority, s. f.). Aunque Kenia ha avanzado en sus infraestructuras de transporte mediante la construcción de vías rápidas, la modernización portuaria y el desarrollo del puerto de Lamu, las empresas siguen afrontando elevados costes de los servicios básicos y un suministro poco fiable. Las tarifas eléctricas son inusualmente altas para la región, y el 75 % de las empresas declara sufrir cortes frecuentes del suministro (International Finance Corporation, 2026). El acceso al agua también constituye una limitación importante (International Finance Corporation, 2026).</w:t>
      </w:r>
    </w:p>
    <w:p>
      <w:pPr>
        <w:jc w:val="both"/>
      </w:pPr>
      <w:r>
        <w:t>Entre las oportunidades sectoriales destacan la agricultura orientada a la exportación, especialmente la cadena de valor del aguacate (International Finance Corporation, 2026; InvestKenya, s. f.), la generación eléctrica y los centros logísticos, como se ha mencionado en este apartado. Además, M-Pesa es una plataforma que permite transferir dinero mediante telefonía móvil, aunque el acceso a estos servicios presenta desigualdades (World Bank, 2020).</w:t>
      </w:r>
    </w:p>
    <w:p>
      <w:pPr>
        <w:jc w:val="both"/>
      </w:pPr>
      <w:r>
        <w:t>En relación con el capital humano, se identifica la disponibilidad de trabajadores cualificados como una de las fortalezas de Kenia para atraer actividad empresarial. Asimismo, se destaca su posición como centro de comercio regional (International Finance Corporation, 2026; International Trade Administration, 2024b).</w:t>
      </w:r>
    </w:p>
    <w:p>
      <w:pPr>
        <w:jc w:val="both"/>
      </w:pPr>
      <w:r>
        <w:t>La seguridad jurídica de la inversión inmobiliaria en Kenia combina garantías constitucionales con dificultades de aplicación. El artículo 40 protege la propiedad legalmente adquirida, pero persisten debilidades en la ejecución de contratos y la resolución judicial de conflictos (Constitution of Kenya, 2010, art. 40; African Development Bank, 2025). En Nairobi, estas condiciones se complementan con los requisitos de planificación y autorización del condado. Además, la Constitución establece en su artículo 65 que las personas no ciudadanas pueden disponer de suelo mediante leasehold por un máximo de 99 años, y define cuándo una sociedad se considera ciudadana a estos efectos (Constitution of Kenya, 2010).</w:t>
      </w:r>
    </w:p>
    <w:p>
      <w:pPr>
        <w:pStyle w:val="Heading1"/>
      </w:pPr>
      <w:r>
        <w:t>4. Evolución económica</w:t>
      </w:r>
    </w:p>
    <w:p>
      <w:pPr>
        <w:jc w:val="both"/>
      </w:pPr>
      <w:r>
        <w:t>Kenia experimentó una primera etapa de expansión tras su independencia en 1963. El PIB real creció a una media anual del 6,6 % entre 1963 y 1972, pero posteriormente perdió dinamismo: el crecimiento medio descendió al 4,3 % durante 1980–1989 y al 2,2 % entre 1990 y 2001. Durante los años noventa, el crecimiento demográfico superó al económico y contribuyó a una reducción media del PIB real por habitante del 0,5 % anual (World Bank, 2004).</w:t>
      </w:r>
    </w:p>
    <w:p>
      <w:pPr>
        <w:jc w:val="both"/>
      </w:pPr>
      <w:r>
        <w:t>Kenia inició su primer programa de ajuste estructural financiado por la Asociación Internacional de Fomento en 1980. Sus objetivos incluían promover una industria más eficiente y orientada al exterior, mejorar la gestión del endeudamiento y reforzar la planificación presupuestaria. Sin embargo, los resultados iniciales fueron inferiores a lo previsto: en 1982, las exportaciones quedaron un 38 % por debajo de la proyección del programa. La evaluación identificó restricciones externas, dificultades administrativas y limitaciones del diseño de las reformas; en particular, señaló que liberalizar las importaciones y ofrecer incentivos a la exportación no bastaba sin inversión, formación y mejoras de gestión (World Bank, 1984).</w:t>
      </w:r>
    </w:p>
    <w:p>
      <w:pPr>
        <w:jc w:val="both"/>
      </w:pPr>
      <w:r>
        <w:t>Los desequilibrios se agravaron a comienzos de los años noventa. El crecimiento del PIB real se aproximó a cero en 1992–1993, la inflación interanual alcanzó el 34 % en marzo de 1993 y el déficit del Gobierno central llegó al 11,4 % del PIB en el ejercicio 1992/1993. La crisis combinaba estancamiento productivo, pérdida de poder adquisitivo y deterioro fiscal, por lo que sus consecuencias no pueden reducirse a un único indicador ni atribuirse exclusivamente al ajuste estructural (International Monetary Fund, 1995).</w:t>
      </w:r>
    </w:p>
    <w:p>
      <w:pPr>
        <w:jc w:val="both"/>
      </w:pPr>
      <w:r>
        <w:t>La recuperación posterior se apoyó en el dinamismo de los servicios. El diagnóstico del World Bank de 2020 destaca su contribución al crecimiento y, al mismo tiempo, las dificultades de productividad, empleo e inclusión. La experiencia keniana matiza la narrativa de Africa Rising: el crecimiento de los servicios ofrece una trayectoria distinta de la expansión apoyada en un recurso extractivo, pero tampoco asegura por sí mismo una mejora general de las condiciones de vida (World Bank, 2020).</w:t>
      </w:r>
    </w:p>
    <w:p>
      <w:pPr>
        <w:jc w:val="both"/>
      </w:pPr>
      <w:r>
        <w:t>La pandemia mostró la vulnerabilidad de los ingresos y la diferencia entre actividad agregada y bienestar. El PIB real se contrajo un 0,3 % en 2020 y creció un 7,6 % en 2021 (Central Bank of Kenya, s. f.; Kenya National Bureau of Statistics, 2026). Las inundaciones de 2024 afectaron a medios de vida, especialmente urbanos, y limitaron el consumo, lo que muestra la exposición de la economía a los shocks climáticos (World Bank, 2024).</w:t>
      </w:r>
    </w:p>
    <w:p>
      <w:pPr>
        <w:jc w:val="both"/>
      </w:pPr>
      <w:r>
        <w:t>El desarrollo de pagos móviles añade una dimensión institucional: una innovación puede reducir obstáculos para operar en la economía. Sin embargo, extender los medios de pago no distribuye automáticamente la productividad ni elimina las diferencias territoriales.</w:t>
      </w:r>
    </w:p>
    <w:p>
      <w:r>
        <w:rPr>
          <w:b/>
        </w:rPr>
        <w:t>Figura 1</w:t>
      </w:r>
    </w:p>
    <w:p>
      <w:r>
        <w:rPr>
          <w:i/>
        </w:rPr>
        <w:t>Crecimiento de Kenia: crisis y recuperación</w:t>
      </w:r>
    </w:p>
    <w:p>
      <w:r>
        <w:drawing>
          <wp:inline xmlns:a="http://schemas.openxmlformats.org/drawingml/2006/main" xmlns:pic="http://schemas.openxmlformats.org/drawingml/2006/picture">
            <wp:extent cx="5760000" cy="2496000"/>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760000" cy="2496000"/>
                    </a:xfrm>
                    <a:prstGeom prst="rect"/>
                  </pic:spPr>
                </pic:pic>
              </a:graphicData>
            </a:graphic>
          </wp:inline>
        </w:drawing>
      </w:r>
    </w:p>
    <w:p>
      <w:pPr>
        <w:jc w:val="both"/>
      </w:pPr>
      <w:r>
        <w:rPr>
          <w:sz w:val="18"/>
        </w:rPr>
        <w:t>Nota. Elaboración propia a partir de Economic Survey 2026 (Kenya National Bureau of Statistics, 2026) y Annual</w:t>
      </w:r>
    </w:p>
    <w:p>
      <w:pPr>
        <w:jc w:val="both"/>
      </w:pPr>
      <w:r>
        <w:t>GDP (Central Bank of Kenya, s. f.). Años seleccionados; serie revisada.</w:t>
      </w:r>
    </w:p>
    <w:p>
      <w:pPr>
        <w:pStyle w:val="Heading1"/>
      </w:pPr>
      <w:r>
        <w:t>5. DAFO de la economía de Kenia</w:t>
      </w:r>
    </w:p>
    <w:tbl>
      <w:tblPr>
        <w:tblStyle w:val="TableGrid"/>
        <w:tblW w:type="auto" w:w="0"/>
        <w:tblLook w:firstColumn="1" w:firstRow="1" w:lastColumn="0" w:lastRow="0" w:noHBand="0" w:noVBand="1" w:val="04A0"/>
      </w:tblPr>
      <w:tblGrid>
        <w:gridCol w:w="3024"/>
        <w:gridCol w:w="3024"/>
        <w:gridCol w:w="3024"/>
      </w:tblGrid>
      <w:tr>
        <w:trPr>
          <w:tblHeader/>
        </w:trPr>
        <w:tc>
          <w:tcPr>
            <w:tcW w:type="dxa" w:w="3024"/>
          </w:tcPr>
          <w:p>
            <w:pPr>
              <w:spacing w:line="264" w:lineRule="auto" w:after="60"/>
            </w:pPr>
            <w:r>
              <w:rPr>
                <w:b/>
                <w:sz w:val="18"/>
              </w:rPr>
            </w:r>
          </w:p>
        </w:tc>
        <w:tc>
          <w:tcPr>
            <w:tcW w:type="dxa" w:w="3024"/>
          </w:tcPr>
          <w:p>
            <w:pPr>
              <w:spacing w:line="264" w:lineRule="auto" w:after="60"/>
            </w:pPr>
            <w:r>
              <w:rPr>
                <w:b/>
                <w:sz w:val="18"/>
              </w:rPr>
              <w:t>Positivos</w:t>
            </w:r>
          </w:p>
        </w:tc>
        <w:tc>
          <w:tcPr>
            <w:tcW w:type="dxa" w:w="3024"/>
          </w:tcPr>
          <w:p>
            <w:pPr>
              <w:spacing w:line="264" w:lineRule="auto" w:after="60"/>
            </w:pPr>
            <w:r>
              <w:rPr>
                <w:b/>
                <w:sz w:val="18"/>
              </w:rPr>
              <w:t>Negativos</w:t>
            </w:r>
          </w:p>
        </w:tc>
      </w:tr>
      <w:tr>
        <w:tc>
          <w:tcPr>
            <w:tcW w:type="dxa" w:w="3024"/>
          </w:tcPr>
          <w:p>
            <w:pPr>
              <w:spacing w:line="264" w:lineRule="auto" w:after="60"/>
            </w:pPr>
            <w:r>
              <w:rPr>
                <w:b/>
                <w:sz w:val="18"/>
              </w:rPr>
              <w:t>Internos</w:t>
            </w:r>
          </w:p>
        </w:tc>
        <w:tc>
          <w:tcPr>
            <w:tcW w:type="dxa" w:w="3024"/>
          </w:tcPr>
          <w:p>
            <w:pPr>
              <w:spacing w:line="264" w:lineRule="auto" w:after="60"/>
            </w:pPr>
            <w:r>
              <w:rPr>
                <w:b w:val="0"/>
                <w:sz w:val="18"/>
              </w:rPr>
              <w:t>Fortalezas. Economía diversificada, Nairobi como centro empresarial, desarrollo de pagos móviles y capacidad para atraer inversión extranjera.</w:t>
            </w:r>
          </w:p>
        </w:tc>
        <w:tc>
          <w:tcPr>
            <w:tcW w:type="dxa" w:w="3024"/>
          </w:tcPr>
          <w:p>
            <w:pPr>
              <w:spacing w:line="264" w:lineRule="auto" w:after="60"/>
            </w:pPr>
            <w:r>
              <w:rPr>
                <w:b w:val="0"/>
                <w:sz w:val="18"/>
              </w:rPr>
              <w:t>Debilidades. Elevada informalidad laboral, desigualdad de ingresos, endeudamiento público y dificultades en la aplicación de las garantías jurídicas.</w:t>
            </w:r>
          </w:p>
        </w:tc>
      </w:tr>
      <w:tr>
        <w:tc>
          <w:tcPr>
            <w:tcW w:type="dxa" w:w="3024"/>
          </w:tcPr>
          <w:p>
            <w:pPr>
              <w:spacing w:line="264" w:lineRule="auto" w:after="60"/>
            </w:pPr>
            <w:r>
              <w:rPr>
                <w:b/>
                <w:sz w:val="18"/>
              </w:rPr>
              <w:t>Externos</w:t>
            </w:r>
          </w:p>
        </w:tc>
        <w:tc>
          <w:tcPr>
            <w:tcW w:type="dxa" w:w="3024"/>
          </w:tcPr>
          <w:p>
            <w:pPr>
              <w:spacing w:line="264" w:lineRule="auto" w:after="60"/>
            </w:pPr>
            <w:r>
              <w:rPr>
                <w:b w:val="0"/>
                <w:sz w:val="18"/>
              </w:rPr>
              <w:t>Oportunidades. Integración regional, acceso a capital y tecnología internacionales y ampliación de mercados para las empresas kenianas.</w:t>
            </w:r>
          </w:p>
        </w:tc>
        <w:tc>
          <w:tcPr>
            <w:tcW w:type="dxa" w:w="3024"/>
          </w:tcPr>
          <w:p>
            <w:pPr>
              <w:spacing w:line="264" w:lineRule="auto" w:after="60"/>
            </w:pPr>
            <w:r>
              <w:rPr>
                <w:b w:val="0"/>
                <w:sz w:val="18"/>
              </w:rPr>
              <w:t>Amenazas. Encarecimiento de la financiación internacional, crisis económicas y sanitarias globales y fenómenos climáticos extremos.</w:t>
            </w:r>
          </w:p>
        </w:tc>
      </w:tr>
    </w:tbl>
    <w:p>
      <w:pPr>
        <w:jc w:val="both"/>
      </w:pPr>
      <w:r>
        <w:t>El análisis muestra una economía con capacidades en servicios, innovación y atracción de inversión, pero con dificultades para convertir el crecimiento en bienestar generalizado. Su evolución dependerá de la creación de empleo productivo, la mejora institucional y la capacidad para afrontar las restricciones fiscales y los riesgos climáticos.</w:t>
      </w:r>
    </w:p>
    <w:p>
      <w:pPr>
        <w:pStyle w:val="Heading1"/>
      </w:pPr>
      <w:r>
        <w:t>6. Plan de acción final: inversión en vivienda de alquiler en Nairobi</w:t>
      </w:r>
    </w:p>
    <w:p>
      <w:pPr>
        <w:pStyle w:val="Heading2"/>
      </w:pPr>
      <w:r>
        <w:t>6.1. Elección del sector, localización y producto</w:t>
      </w:r>
    </w:p>
    <w:p>
      <w:pPr>
        <w:jc w:val="both"/>
      </w:pPr>
      <w:r>
        <w:t>Se elige este sector frente a la vivienda para venta, las oficinas y el alojamiento turístico porque permite vincular la inversión con una necesidad residencial de los trabajadores sin exigirles una compra ni una hipoteca. No se sostiene que sea el sector más rentable de Kenia: se defiende que permite aprovechar las capacidades empresariales de la capital para vincular el crecimiento del país con la mejora de las condiciones de vida.</w:t>
      </w:r>
    </w:p>
    <w:p>
      <w:pPr>
        <w:jc w:val="both"/>
      </w:pPr>
      <w:r>
        <w:t>Riruta se selecciona como zona inicial de estudio por la presencia de iniciativas de vivienda asequible y su relevancia en la planificación de la conectividad metropolitana. El informe de Financial Sector Deepening Kenya sobre incentivos a la vivienda asequible identifica varias promociones en esta localización, lo que evidencia interés inversor y obliga a analizar la oferta competidora. Por su parte, la línea ferroviaria propuesta Riruta–Ngong plantea una posible mejora futura de los desplazamientos (Financial Sector Deepening Kenya, 2026; Kenya Railways, 2026).</w:t>
      </w:r>
    </w:p>
    <w:p>
      <w:pPr>
        <w:jc w:val="both"/>
      </w:pPr>
      <w:r>
        <w:t>Además, predomina el alquiler: la encuesta de vivienda de Kenia de 2023/24 estima que el 88,8 % de los hogares de Nairobi pagaba alquiler, frente a un 7,7 % que ocupaba una vivienda propia. Es una base directa para justificar el estudio del mercado arrendatario (Kenya National Bureau of Statistics, 2025a).</w:t>
      </w:r>
    </w:p>
    <w:p>
      <w:pPr>
        <w:jc w:val="both"/>
      </w:pPr>
      <w:r>
        <w:t>El producto combinaría estudios y viviendas de un dormitorio destinados a hogares pequeños de trabajadores con ingresos documentables, incluidos autónomos. La propuesta aprovecha tres fortalezas del DAFO: la concentración de actividad empresarial en Nairobi, la experiencia en servicios y pagos digitales y la capacidad de atraer capital extranjero. La oportunidad consiste en reunir esas capacidades en una oferta de alquiler con mantenimiento y atención al residente gestionados profesionalmente.</w:t>
      </w:r>
    </w:p>
    <w:p>
      <w:pPr>
        <w:jc w:val="both"/>
      </w:pPr>
      <w:r>
        <w:t>Para estudiar la capacidad de pago también hay que conocer los gastos y obligaciones del hogar. Se identifican restricciones de acceso a vivienda incluso entre personas vinculadas a fondos de pensiones (Shah et al., 2026). El cliente propuesto será, por ello, un hogar pequeño de trabajadores con ingresos documentables, sin presentar el proyecto como solución para toda la población de bajos ingresos.</w:t>
      </w:r>
    </w:p>
    <w:p>
      <w:pPr>
        <w:jc w:val="both"/>
      </w:pPr>
      <w:r>
        <w:t>La experiencia en servicios digitales ofrece herramientas para gestionar el alquiler. Para un operador residencial, los pagos digitales pueden facilitar cobros y registros. Una herramienta como M-PESA Bill Manager permitiría a los inquilinos pagar el alquiler desde el teléfono y a los propietarios gestionar facturas, recordatorios y registros de pago (Safaricom, s. f.).</w:t>
      </w:r>
    </w:p>
    <w:p>
      <w:pPr>
        <w:pStyle w:val="Heading2"/>
      </w:pPr>
      <w:r>
        <w:t>6.2. Empresas candidatas y organización del proyecto</w:t>
      </w:r>
    </w:p>
    <w:p>
      <w:pPr>
        <w:jc w:val="both"/>
      </w:pPr>
      <w:r>
        <w:t>La idea es trabajar con empresas que ya cuentan con experiencia documentada en el mercado keniano. Esta base permite concentrar recursos en seleccionar la parcela, ajustar el producto y captar clientes, en lugar de crear toda la capacidad operativa desde cero.</w:t>
      </w:r>
    </w:p>
    <w:p>
      <w:pPr>
        <w:jc w:val="both"/>
      </w:pPr>
      <w:r>
        <w:t>La iniciativa de Acorn para ampliar el alquiler y el programa de International Housing Solutions muestran precedentes de organización institucional de capital (International Finance Corporation, 2024; Private Infrastructure Development Group, 2025).</w:t>
      </w:r>
    </w:p>
    <w:p>
      <w:pPr>
        <w:jc w:val="both"/>
      </w:pPr>
      <w:r>
        <w:t>Se seleccionan tres empresas reales por sus capacidades documentadas en vivienda y gestión de capital. Son candidatas a explorar, no inversores que hayan comprometido recursos para este proyecto.</w:t>
      </w:r>
    </w:p>
    <w:p>
      <w:pPr>
        <w:jc w:val="both"/>
      </w:pPr>
      <w:r>
        <w:t>Acorn Holdings. Es la primera opción y la empresa de cabecera. Combina desarrollo, propiedad y gestión de alquiler, y su estrategia contempla ampliar su actividad desde estudiantes hacia jóvenes profesionales y familias (Acorn Holdings, s. f.). Además, se ha anunciado un vehículo de inversión inmobiliaria orientado al alquiler para jóvenes urbanos que han terminado sus estudios (Private Infrastructure Development Group, 2025). Esta orientación encaja con el segmento propuesto mejor que una empresa dedicada exclusivamente a vender viviendas.</w:t>
      </w:r>
    </w:p>
    <w:p>
      <w:pPr>
        <w:jc w:val="both"/>
      </w:pPr>
      <w:r>
        <w:t>International Housing Solutions. Es la segunda candidata por su experiencia en fondos de vivienda y su programa keniano. Su actividad documentada contempla alquiler, venta y alquiler con opción de compra (International Finance Corporation, 2024). Podría aportar capacidad de inversión y relaciones con promotores, pero habría que acordar expresamente que la operación se mantuviera destinada al alquiler de larga duración. Por esta diferencia de modalidades, se sitúa como alternativa a Acorn y no como cabecera preferente.</w:t>
      </w:r>
    </w:p>
    <w:p>
      <w:pPr>
        <w:jc w:val="both"/>
      </w:pPr>
      <w:r>
        <w:t>Fusion Capital. Es la tercera candidata por su experiencia regional en vivienda de alquiler. La información sobre sus inquilinos permite identificar mejoras residenciales junto con dificultades de asequibilidad (Robinson et al., 2025). Su interés para la propuesta reside en esa experiencia operativa y en la posibilidad de contrastar decisiones de calidad y precio. La muestra del estudio no permite estimar la demanda de toda Nairobi ni confirma su interés en financiar una nueva promoción.</w:t>
      </w:r>
    </w:p>
    <w:p>
      <w:pPr>
        <w:pStyle w:val="Heading2"/>
      </w:pPr>
      <w:r>
        <w:t>6.3. Advertencias</w:t>
      </w:r>
    </w:p>
    <w:p>
      <w:pPr>
        <w:jc w:val="both"/>
      </w:pPr>
      <w:r>
        <w:t>Las debilidades del DAFO determinan el diseño: la informalidad y las restricciones presupuestarias obligan a estudiar ingresos y gastos reales, y los problemas de gobernanza exigen revisar suelo y permisos. La existencia de ingresos recurrentes no elimina las dificultades de acceso a vivienda (Shah et al., 2026).</w:t>
      </w:r>
    </w:p>
    <w:p>
      <w:pPr>
        <w:jc w:val="both"/>
      </w:pPr>
      <w:r>
        <w:t>La Constitución atribuye a los condados competencias de planificación territorial y vivienda, mientras que el Gobierno nacional establece las políticas y los principios generales (Constitution of Kenya, 2010, cuarto anexo). Antes de adquirir la parcela habrá que comprobar el título, la duración del derecho y la estructura de propiedad de la sociedad inversora (Constitution of Kenya, 2010).</w:t>
      </w:r>
    </w:p>
    <w:p>
      <w:pPr>
        <w:jc w:val="both"/>
      </w:pPr>
      <w:r>
        <w:t>El funcionamiento de agua, saneamiento, electricidad y transporte condiciona el coste de residencia. Estas condiciones deben verificarse en la ubicación elegida: las capacidades nacionales no aseguran servicios suficientes para una parcela concreta. La evaluación del inmueble incluirá tanto su calidad constructiva como los gastos y las condiciones de uso para sus residentes.</w:t>
      </w:r>
    </w:p>
    <w:p>
      <w:pPr>
        <w:jc w:val="both"/>
      </w:pPr>
      <w:r>
        <w:t>En cuanto a la capacidad de pago de las familias, el salario no basta para calcular cuánto alquiler puede pagar un hogar. Si una familia tiene que destinar más dinero a servicios esenciales, le queda menos para vivienda. Por ello, el proyecto deberá valorar tanto los ingresos como los gastos de sus futuros inquilinos.</w:t>
      </w:r>
    </w:p>
    <w:p>
      <w:pPr>
        <w:jc w:val="both"/>
      </w:pPr>
      <w:r>
        <w:t>Las restricciones fiscales aconsejan evitar que la viabilidad del proyecto dependa de incentivos fiscales amplios o de infraestructura pública cuya financiación no se haya identificado (World Bank, 2025b; The National Treasury, 2025).</w:t>
      </w:r>
    </w:p>
    <w:p>
      <w:pPr>
        <w:jc w:val="both"/>
      </w:pPr>
      <w:r>
        <w:t>Aplicado a la vivienda, el marco de Acemoglu y Robinson (2012) exige distinguir la seguridad del inversor de la inclusión de los residentes. El límite de 99 años para determinados derechos sobre el suelo regula la posición de los inversores extranjeros, pero no demuestra que los hogares puedan acceder a suelo, crédito o servicios. Las restricciones de acceso a vivienda documentadas incluso entre personas vinculadas a fondos de pensiones refuerzan la necesidad de comprobar quién puede pagar el producto.</w:t>
      </w:r>
    </w:p>
    <w:p>
      <w:pPr>
        <w:pStyle w:val="Heading2"/>
      </w:pPr>
      <w:r>
        <w:t>6.4. Plan de acción 360º</w:t>
      </w:r>
    </w:p>
    <w:p>
      <w:pPr>
        <w:jc w:val="both"/>
      </w:pPr>
      <w:r>
        <w:t>El plan convierte las debilidades y amenazas del DAFO en actuaciones verificables. Los plazos se cuentan desde el inicio del estudio y son propuestas del trabajo, no compromisos asumidos por empresas o autoridades. Los meses 0–6 se dedicarían a demanda y parcelas; los meses 6–12, al diseño, las autorizaciones y la financiación. El calendario de obra se aprobaría después de completar esas comprobaciones.</w:t>
      </w:r>
    </w:p>
    <w:p>
      <w:pPr>
        <w:sectPr>
          <w:footerReference w:type="default" r:id="rId9"/>
          <w:pgSz w:w="11906" w:h="16838"/>
          <w:pgMar w:top="1417" w:right="1417" w:bottom="1417" w:left="1417" w:header="720" w:footer="720" w:gutter="0"/>
          <w:cols w:space="720"/>
          <w:docGrid w:linePitch="360"/>
        </w:sectPr>
      </w:pPr>
    </w:p>
    <w:p>
      <w:pPr>
        <w:pStyle w:val="Heading2"/>
      </w:pPr>
      <w:r>
        <w:t>Plan de acción 360º</w:t>
      </w:r>
    </w:p>
    <w:tbl>
      <w:tblPr>
        <w:tblStyle w:val="TableGrid"/>
        <w:tblW w:type="auto" w:w="0"/>
        <w:tblLook w:firstColumn="1" w:firstRow="1" w:lastColumn="0" w:lastRow="0" w:noHBand="0" w:noVBand="1" w:val="04A0"/>
      </w:tblPr>
      <w:tblGrid>
        <w:gridCol w:w="2801"/>
        <w:gridCol w:w="2801"/>
        <w:gridCol w:w="2801"/>
        <w:gridCol w:w="2801"/>
        <w:gridCol w:w="2801"/>
      </w:tblGrid>
      <w:tr>
        <w:trPr>
          <w:tblHeader/>
        </w:trPr>
        <w:tc>
          <w:tcPr>
            <w:tcW w:type="dxa" w:w="2801"/>
          </w:tcPr>
          <w:p>
            <w:pPr>
              <w:spacing w:line="264" w:lineRule="auto" w:after="60"/>
            </w:pPr>
            <w:r>
              <w:rPr>
                <w:b/>
                <w:sz w:val="18"/>
              </w:rPr>
              <w:t>Palanca</w:t>
            </w:r>
          </w:p>
        </w:tc>
        <w:tc>
          <w:tcPr>
            <w:tcW w:type="dxa" w:w="2801"/>
          </w:tcPr>
          <w:p>
            <w:pPr>
              <w:spacing w:line="264" w:lineRule="auto" w:after="60"/>
            </w:pPr>
            <w:r>
              <w:rPr>
                <w:b/>
                <w:sz w:val="18"/>
              </w:rPr>
              <w:t>Actuación y relación con el DAFO</w:t>
            </w:r>
          </w:p>
        </w:tc>
        <w:tc>
          <w:tcPr>
            <w:tcW w:type="dxa" w:w="2801"/>
          </w:tcPr>
          <w:p>
            <w:pPr>
              <w:spacing w:line="264" w:lineRule="auto" w:after="60"/>
            </w:pPr>
            <w:r>
              <w:rPr>
                <w:b/>
                <w:sz w:val="18"/>
              </w:rPr>
              <w:t>Responsable propuesto</w:t>
            </w:r>
          </w:p>
        </w:tc>
        <w:tc>
          <w:tcPr>
            <w:tcW w:type="dxa" w:w="2801"/>
          </w:tcPr>
          <w:p>
            <w:pPr>
              <w:spacing w:line="264" w:lineRule="auto" w:after="60"/>
            </w:pPr>
            <w:r>
              <w:rPr>
                <w:b/>
                <w:sz w:val="18"/>
              </w:rPr>
              <w:t>Plazo orientativo</w:t>
            </w:r>
          </w:p>
        </w:tc>
        <w:tc>
          <w:tcPr>
            <w:tcW w:type="dxa" w:w="2801"/>
          </w:tcPr>
          <w:p>
            <w:pPr>
              <w:spacing w:line="264" w:lineRule="auto" w:after="60"/>
            </w:pPr>
            <w:r>
              <w:rPr>
                <w:b/>
                <w:sz w:val="18"/>
              </w:rPr>
              <w:t>Evidencia de cumplimiento</w:t>
            </w:r>
          </w:p>
        </w:tc>
      </w:tr>
      <w:tr>
        <w:tc>
          <w:tcPr>
            <w:tcW w:type="dxa" w:w="2801"/>
          </w:tcPr>
          <w:p>
            <w:pPr>
              <w:spacing w:line="264" w:lineRule="auto" w:after="60"/>
            </w:pPr>
            <w:r>
              <w:rPr>
                <w:b/>
                <w:sz w:val="18"/>
              </w:rPr>
              <w:t>Formación y capital humano</w:t>
            </w:r>
          </w:p>
        </w:tc>
        <w:tc>
          <w:tcPr>
            <w:tcW w:type="dxa" w:w="2801"/>
          </w:tcPr>
          <w:p>
            <w:pPr>
              <w:spacing w:line="264" w:lineRule="auto" w:after="60"/>
            </w:pPr>
            <w:r>
              <w:rPr>
                <w:b w:val="0"/>
                <w:sz w:val="18"/>
              </w:rPr>
              <w:t>Identificar puestos de obra, mantenimiento y gestión; acordar formación y prácticas remuneradas con un centro técnico local. Responde a la debilidad del empleo formal.</w:t>
            </w:r>
          </w:p>
        </w:tc>
        <w:tc>
          <w:tcPr>
            <w:tcW w:type="dxa" w:w="2801"/>
          </w:tcPr>
          <w:p>
            <w:pPr>
              <w:spacing w:line="264" w:lineRule="auto" w:after="60"/>
            </w:pPr>
            <w:r>
              <w:rPr>
                <w:b w:val="0"/>
                <w:sz w:val="18"/>
              </w:rPr>
              <w:t>Acorn como promotor propuesto, contratista y centro técnico seleccionado</w:t>
            </w:r>
          </w:p>
        </w:tc>
        <w:tc>
          <w:tcPr>
            <w:tcW w:type="dxa" w:w="2801"/>
          </w:tcPr>
          <w:p>
            <w:pPr>
              <w:spacing w:line="264" w:lineRule="auto" w:after="60"/>
            </w:pPr>
            <w:r>
              <w:rPr>
                <w:b w:val="0"/>
                <w:sz w:val="18"/>
              </w:rPr>
              <w:t>Definir perfiles y convenio en meses 0–6; ejecutar durante obra y operación</w:t>
            </w:r>
          </w:p>
        </w:tc>
        <w:tc>
          <w:tcPr>
            <w:tcW w:type="dxa" w:w="2801"/>
          </w:tcPr>
          <w:p>
            <w:pPr>
              <w:spacing w:line="264" w:lineRule="auto" w:after="60"/>
            </w:pPr>
            <w:r>
              <w:rPr>
                <w:b w:val="0"/>
                <w:sz w:val="18"/>
              </w:rPr>
              <w:t>Convenio firmado; personas formadas y contratadas; seguimiento de continuidad laboral</w:t>
            </w:r>
          </w:p>
        </w:tc>
      </w:tr>
      <w:tr>
        <w:tc>
          <w:tcPr>
            <w:tcW w:type="dxa" w:w="2801"/>
          </w:tcPr>
          <w:p>
            <w:pPr>
              <w:spacing w:line="264" w:lineRule="auto" w:after="60"/>
            </w:pPr>
            <w:r>
              <w:rPr>
                <w:b/>
                <w:sz w:val="18"/>
              </w:rPr>
              <w:t>Marco legislativo y regulatorio</w:t>
            </w:r>
          </w:p>
        </w:tc>
        <w:tc>
          <w:tcPr>
            <w:tcW w:type="dxa" w:w="2801"/>
          </w:tcPr>
          <w:p>
            <w:pPr>
              <w:spacing w:line="264" w:lineRule="auto" w:after="60"/>
            </w:pPr>
            <w:r>
              <w:rPr>
                <w:b w:val="0"/>
                <w:sz w:val="18"/>
              </w:rPr>
              <w:t>Revisar título, duración del derecho sobre el suelo, uso permitido y estructura de inversión; elaborar contratos con cargos comprensibles y registrar permisos. Responde a los problemas de seguridad jurídica y gobernanza.</w:t>
            </w:r>
          </w:p>
        </w:tc>
        <w:tc>
          <w:tcPr>
            <w:tcW w:type="dxa" w:w="2801"/>
          </w:tcPr>
          <w:p>
            <w:pPr>
              <w:spacing w:line="264" w:lineRule="auto" w:after="60"/>
            </w:pPr>
            <w:r>
              <w:rPr>
                <w:b w:val="0"/>
                <w:sz w:val="18"/>
              </w:rPr>
              <w:t>Asesoría jurídica local, sociedad promotora y autoridades competentes del condado de Nairobi</w:t>
            </w:r>
          </w:p>
        </w:tc>
        <w:tc>
          <w:tcPr>
            <w:tcW w:type="dxa" w:w="2801"/>
          </w:tcPr>
          <w:p>
            <w:pPr>
              <w:spacing w:line="264" w:lineRule="auto" w:after="60"/>
            </w:pPr>
            <w:r>
              <w:rPr>
                <w:b w:val="0"/>
                <w:sz w:val="18"/>
              </w:rPr>
              <w:t>Revisión inicial en meses 0–6; autorizaciones antes de cada fase</w:t>
            </w:r>
          </w:p>
        </w:tc>
        <w:tc>
          <w:tcPr>
            <w:tcW w:type="dxa" w:w="2801"/>
          </w:tcPr>
          <w:p>
            <w:pPr>
              <w:spacing w:line="264" w:lineRule="auto" w:after="60"/>
            </w:pPr>
            <w:r>
              <w:rPr>
                <w:b w:val="0"/>
                <w:sz w:val="18"/>
              </w:rPr>
              <w:t>Informe jurídico; título y uso comprobados; resoluciones administrativas; contratos revisados</w:t>
            </w:r>
          </w:p>
        </w:tc>
      </w:tr>
      <w:tr>
        <w:tc>
          <w:tcPr>
            <w:tcW w:type="dxa" w:w="2801"/>
          </w:tcPr>
          <w:p>
            <w:pPr>
              <w:spacing w:line="264" w:lineRule="auto" w:after="60"/>
            </w:pPr>
            <w:r>
              <w:rPr>
                <w:b/>
                <w:sz w:val="18"/>
              </w:rPr>
              <w:t>Infraestructura y clima</w:t>
            </w:r>
          </w:p>
        </w:tc>
        <w:tc>
          <w:tcPr>
            <w:tcW w:type="dxa" w:w="2801"/>
          </w:tcPr>
          <w:p>
            <w:pPr>
              <w:spacing w:line="264" w:lineRule="auto" w:after="60"/>
            </w:pPr>
            <w:r>
              <w:rPr>
                <w:b w:val="0"/>
                <w:sz w:val="18"/>
              </w:rPr>
              <w:t>Comparar parcelas por agua, saneamiento, drenaje, electricidad, transporte y seguridad peatonal; descartar ubicaciones sin soluciones técnicas y financieras viables. Responde a los riesgos climáticos y a las carencias de servicios.</w:t>
            </w:r>
          </w:p>
        </w:tc>
        <w:tc>
          <w:tcPr>
            <w:tcW w:type="dxa" w:w="2801"/>
          </w:tcPr>
          <w:p>
            <w:pPr>
              <w:spacing w:line="264" w:lineRule="auto" w:after="60"/>
            </w:pPr>
            <w:r>
              <w:rPr>
                <w:b w:val="0"/>
                <w:sz w:val="18"/>
              </w:rPr>
              <w:t>Equipo técnico de Acorn, operadores de servicios y condado de Nairobi</w:t>
            </w:r>
          </w:p>
        </w:tc>
        <w:tc>
          <w:tcPr>
            <w:tcW w:type="dxa" w:w="2801"/>
          </w:tcPr>
          <w:p>
            <w:pPr>
              <w:spacing w:line="264" w:lineRule="auto" w:after="60"/>
            </w:pPr>
            <w:r>
              <w:rPr>
                <w:b w:val="0"/>
                <w:sz w:val="18"/>
              </w:rPr>
              <w:t>Evaluación en meses 0–6; soluciones y costes definidos antes de aprobar la obra</w:t>
            </w:r>
          </w:p>
        </w:tc>
        <w:tc>
          <w:tcPr>
            <w:tcW w:type="dxa" w:w="2801"/>
          </w:tcPr>
          <w:p>
            <w:pPr>
              <w:spacing w:line="264" w:lineRule="auto" w:after="60"/>
            </w:pPr>
            <w:r>
              <w:rPr>
                <w:b w:val="0"/>
                <w:sz w:val="18"/>
              </w:rPr>
              <w:t>Informe de parcela; evaluación de drenaje; costes y condiciones de conexión documentados</w:t>
            </w:r>
          </w:p>
        </w:tc>
      </w:tr>
      <w:tr>
        <w:tc>
          <w:tcPr>
            <w:tcW w:type="dxa" w:w="2801"/>
          </w:tcPr>
          <w:p>
            <w:pPr>
              <w:spacing w:line="264" w:lineRule="auto" w:after="60"/>
            </w:pPr>
            <w:r>
              <w:rPr>
                <w:b/>
                <w:sz w:val="18"/>
              </w:rPr>
              <w:t>Incentivos administrativos</w:t>
            </w:r>
          </w:p>
        </w:tc>
        <w:tc>
          <w:tcPr>
            <w:tcW w:type="dxa" w:w="2801"/>
          </w:tcPr>
          <w:p>
            <w:pPr>
              <w:spacing w:line="264" w:lineRule="auto" w:after="60"/>
            </w:pPr>
            <w:r>
              <w:rPr>
                <w:b w:val="0"/>
                <w:sz w:val="18"/>
              </w:rPr>
              <w:t>Solicitar coordinación de trámites e información clara de requisitos y tasas. Se elige esta vía frente a exenciones fiscales generales por las restricciones fiscales del país.</w:t>
            </w:r>
          </w:p>
        </w:tc>
        <w:tc>
          <w:tcPr>
            <w:tcW w:type="dxa" w:w="2801"/>
          </w:tcPr>
          <w:p>
            <w:pPr>
              <w:spacing w:line="264" w:lineRule="auto" w:after="60"/>
            </w:pPr>
            <w:r>
              <w:rPr>
                <w:b w:val="0"/>
                <w:sz w:val="18"/>
              </w:rPr>
              <w:t>Promotor, Invest Kenya y condado de Nairobi</w:t>
            </w:r>
          </w:p>
        </w:tc>
        <w:tc>
          <w:tcPr>
            <w:tcW w:type="dxa" w:w="2801"/>
          </w:tcPr>
          <w:p>
            <w:pPr>
              <w:spacing w:line="264" w:lineRule="auto" w:after="60"/>
            </w:pPr>
            <w:r>
              <w:rPr>
                <w:b w:val="0"/>
                <w:sz w:val="18"/>
              </w:rPr>
              <w:t>Iniciar en meses 0–3 y mantener durante las autorizaciones</w:t>
            </w:r>
          </w:p>
        </w:tc>
        <w:tc>
          <w:tcPr>
            <w:tcW w:type="dxa" w:w="2801"/>
          </w:tcPr>
          <w:p>
            <w:pPr>
              <w:spacing w:line="264" w:lineRule="auto" w:after="60"/>
            </w:pPr>
            <w:r>
              <w:rPr>
                <w:b w:val="0"/>
                <w:sz w:val="18"/>
              </w:rPr>
              <w:t>Registro de requisitos, solicitudes, incidencias y tiempos; coste de tasas identificado</w:t>
            </w:r>
          </w:p>
        </w:tc>
      </w:tr>
    </w:tbl>
    <w:p>
      <w:pPr>
        <w:sectPr>
          <w:pgSz w:w="16838" w:h="11906" w:orient="landscape"/>
          <w:pgMar w:top="1417" w:right="1417" w:bottom="1417" w:left="1417" w:header="720" w:footer="720" w:gutter="0"/>
          <w:cols w:space="720"/>
          <w:docGrid w:linePitch="360"/>
        </w:sectPr>
      </w:pPr>
    </w:p>
    <w:p>
      <w:pPr>
        <w:pStyle w:val="Heading1"/>
      </w:pPr>
      <w:r>
        <w:t>7. Conclusión</w:t>
      </w:r>
    </w:p>
    <w:p>
      <w:pPr>
        <w:jc w:val="both"/>
      </w:pPr>
      <w:r>
        <w:t>Kenia ofrece capacidades empresariales y urbanas que hacen razonable estudiar inversión residencial de largo plazo en Nairobi. Sin embargo, su evolución económica muestra que crecimiento, innovación y mejora del bienestar no avanzan necesariamente al mismo ritmo. La informalidad, las restricciones fiscales y la desigualdad de acceso a oportunidades condicionan tanto la necesidad de vivienda como la capacidad efectiva de pagarla.</w:t>
      </w:r>
    </w:p>
    <w:p>
      <w:pPr>
        <w:jc w:val="both"/>
      </w:pPr>
      <w:r>
        <w:t>La propuesta elige construcción para alquiler, Acorn como cabecera y Riruta como ubicación de estudio. No demuestra todavía una rentabilidad ni una demanda garantizadas; plantea una actuación cuya aprobación depende de pruebas de mercado y viabilidad.</w:t>
      </w:r>
    </w:p>
    <w:p>
      <w:pPr>
        <w:jc w:val="both"/>
      </w:pPr>
      <w:r>
        <w:t>Desde Acemoglu y Robinson, el criterio decisivo es cómo se organizan los derechos y las oportunidades. Contratos claros, suelo seguro, servicios y financiación deben proteger al inversor y hacer posible una residencia estable para el trabajador. El plan asigna responsabilidades para comprobar esas condiciones. La evaluación deberá atender a la sostenibilidad del negocio y a la mejora residencial que ofrece a los trabajadores.</w:t>
      </w:r>
    </w:p>
    <w:p>
      <w:r>
        <w:br w:type="page"/>
      </w:r>
    </w:p>
    <w:p>
      <w:pPr>
        <w:pStyle w:val="Heading1"/>
      </w:pPr>
      <w:r>
        <w:t>Referencias</w:t>
      </w:r>
    </w:p>
    <w:p>
      <w:pPr>
        <w:spacing w:line="480" w:lineRule="auto" w:after="0"/>
        <w:ind w:left="720" w:hanging="720"/>
      </w:pPr>
      <w:r>
        <w:rPr>
          <w:i w:val="0"/>
        </w:rPr>
        <w:t xml:space="preserve">Acemoglu, D., &amp; Robinson, J. A. (2012). </w:t>
      </w:r>
      <w:r>
        <w:rPr>
          <w:i/>
        </w:rPr>
        <w:t>Why nations fail: The origins of power, prosperity, and poverty</w:t>
      </w:r>
      <w:r>
        <w:rPr>
          <w:i w:val="0"/>
        </w:rPr>
        <w:t>. Crown. https://www.penguinrandomhouseretail.com/book/?isbn=9780307719218</w:t>
      </w:r>
    </w:p>
    <w:p>
      <w:pPr>
        <w:spacing w:line="480" w:lineRule="auto" w:after="0"/>
        <w:ind w:left="720" w:hanging="720"/>
      </w:pPr>
      <w:r>
        <w:rPr>
          <w:i w:val="0"/>
        </w:rPr>
        <w:t xml:space="preserve">Acorn Holdings. (s. f.). </w:t>
      </w:r>
      <w:r>
        <w:rPr>
          <w:i/>
        </w:rPr>
        <w:t>Overview</w:t>
      </w:r>
      <w:r>
        <w:rPr>
          <w:i w:val="0"/>
        </w:rPr>
        <w:t>. Recuperado el 21 de octubre de 2026, de https://acornholdingsafrica.com/overview/</w:t>
      </w:r>
    </w:p>
    <w:p>
      <w:pPr>
        <w:spacing w:line="480" w:lineRule="auto" w:after="0"/>
        <w:ind w:left="720" w:hanging="720"/>
      </w:pPr>
      <w:r>
        <w:rPr>
          <w:i w:val="0"/>
        </w:rPr>
        <w:t xml:space="preserve">African Development Bank. (2025). </w:t>
      </w:r>
      <w:r>
        <w:rPr>
          <w:i/>
        </w:rPr>
        <w:t>Country focus report 2025: Kenya</w:t>
      </w:r>
      <w:r>
        <w:rPr>
          <w:i w:val="0"/>
        </w:rPr>
        <w:t>. https://vcda.afdb.org/system/files/attachments/cfr_kenya_2025.pdf</w:t>
      </w:r>
    </w:p>
    <w:p>
      <w:pPr>
        <w:spacing w:line="480" w:lineRule="auto" w:after="0"/>
        <w:ind w:left="720" w:hanging="720"/>
      </w:pPr>
      <w:r>
        <w:rPr>
          <w:i w:val="0"/>
        </w:rPr>
        <w:t xml:space="preserve">Central Bank of Kenya. (s. f.). </w:t>
      </w:r>
      <w:r>
        <w:rPr>
          <w:i/>
        </w:rPr>
        <w:t>Annual GDP</w:t>
      </w:r>
      <w:r>
        <w:rPr>
          <w:i w:val="0"/>
        </w:rPr>
        <w:t>. Recuperado el 21 de octubre de 2026, de https://www.centralbank.go.ke/annual-gdp/</w:t>
      </w:r>
    </w:p>
    <w:p>
      <w:pPr>
        <w:spacing w:line="480" w:lineRule="auto" w:after="0"/>
        <w:ind w:left="720" w:hanging="720"/>
      </w:pPr>
      <w:r>
        <w:rPr>
          <w:i w:val="0"/>
        </w:rPr>
        <w:t>Constitution of Kenya (2010). Kenya Law Reform Commission. https://www.klrc.go.ke/index.php/constitution-of-kenya</w:t>
      </w:r>
    </w:p>
    <w:p>
      <w:pPr>
        <w:spacing w:line="480" w:lineRule="auto" w:after="0"/>
        <w:ind w:left="720" w:hanging="720"/>
      </w:pPr>
      <w:r>
        <w:rPr>
          <w:i w:val="0"/>
        </w:rPr>
        <w:t xml:space="preserve">East African Community. (s. f.). </w:t>
      </w:r>
      <w:r>
        <w:rPr>
          <w:i/>
        </w:rPr>
        <w:t>EAC at a glance</w:t>
      </w:r>
      <w:r>
        <w:rPr>
          <w:i w:val="0"/>
        </w:rPr>
        <w:t>. Recuperado el 21 de octubre de 2026, de https://www.eac.int/component/content/?Itemid=89</w:t>
      </w:r>
    </w:p>
    <w:p>
      <w:pPr>
        <w:spacing w:line="480" w:lineRule="auto" w:after="0"/>
        <w:ind w:left="720" w:hanging="720"/>
      </w:pPr>
      <w:r>
        <w:rPr>
          <w:i w:val="0"/>
        </w:rPr>
        <w:t xml:space="preserve">Financial Sector Deepening Kenya. (2026). </w:t>
      </w:r>
      <w:r>
        <w:rPr>
          <w:i/>
        </w:rPr>
        <w:t>Affordable housing tax incentives program report</w:t>
      </w:r>
      <w:r>
        <w:rPr>
          <w:i w:val="0"/>
        </w:rPr>
        <w:t>. https://www.fsdkenya.org/wp-content/uploads/2026/03/Affordable-housing-tax-incentives-program-report.pdf</w:t>
      </w:r>
    </w:p>
    <w:p>
      <w:pPr>
        <w:spacing w:line="480" w:lineRule="auto" w:after="0"/>
        <w:ind w:left="720" w:hanging="720"/>
      </w:pPr>
      <w:r>
        <w:rPr>
          <w:i w:val="0"/>
        </w:rPr>
        <w:t xml:space="preserve">Freedom House. (2026). </w:t>
      </w:r>
      <w:r>
        <w:rPr>
          <w:i/>
        </w:rPr>
        <w:t>Freedom in the world 2026: Kenya</w:t>
      </w:r>
      <w:r>
        <w:rPr>
          <w:i w:val="0"/>
        </w:rPr>
        <w:t>. https://freedomhouse.org/country/kenya/freedom-world/2026</w:t>
      </w:r>
    </w:p>
    <w:p>
      <w:pPr>
        <w:spacing w:line="480" w:lineRule="auto" w:after="0"/>
        <w:ind w:left="720" w:hanging="720"/>
      </w:pPr>
      <w:r>
        <w:rPr>
          <w:i w:val="0"/>
        </w:rPr>
        <w:t xml:space="preserve">Gamba, P., &amp; Kibaara, B. (2007). </w:t>
      </w:r>
      <w:r>
        <w:rPr>
          <w:i/>
        </w:rPr>
        <w:t>Structural implications of economic liberalization on agriculture and rural development: RuralStruc program, phase I</w:t>
      </w:r>
      <w:r>
        <w:rPr>
          <w:i w:val="0"/>
        </w:rPr>
        <w:t>. Egerton University, Tegemeo Institute. https://documents1.worldbank.org/curated/en/886221468048846460/pdf/779820WP0KENYA00Box377319B00PUBLIC0.pdf</w:t>
      </w:r>
    </w:p>
    <w:p>
      <w:pPr>
        <w:spacing w:line="480" w:lineRule="auto" w:after="0"/>
        <w:ind w:left="720" w:hanging="720"/>
      </w:pPr>
      <w:r>
        <w:rPr>
          <w:i w:val="0"/>
        </w:rPr>
        <w:t xml:space="preserve">International Energy Agency. (2025). </w:t>
      </w:r>
      <w:r>
        <w:rPr>
          <w:i/>
        </w:rPr>
        <w:t>Kenya 2024: Energy policy review</w:t>
      </w:r>
      <w:r>
        <w:rPr>
          <w:i w:val="0"/>
        </w:rPr>
        <w:t>. https://www.iea.org/reports/kenya-2024</w:t>
      </w:r>
    </w:p>
    <w:p>
      <w:pPr>
        <w:spacing w:line="480" w:lineRule="auto" w:after="0"/>
        <w:ind w:left="720" w:hanging="720"/>
      </w:pPr>
      <w:r>
        <w:rPr>
          <w:i w:val="0"/>
        </w:rPr>
        <w:t xml:space="preserve">International Finance Corporation. (2024). </w:t>
      </w:r>
      <w:r>
        <w:rPr>
          <w:i/>
        </w:rPr>
        <w:t>IHS Kenya: Environmental and social review summary (Project 47136)</w:t>
      </w:r>
      <w:r>
        <w:rPr>
          <w:i w:val="0"/>
        </w:rPr>
        <w:t>. https://disclosures.ifc.org/project-detail/ESRS/47136/co</w:t>
      </w:r>
    </w:p>
    <w:p>
      <w:pPr>
        <w:spacing w:line="480" w:lineRule="auto" w:after="0"/>
        <w:ind w:left="720" w:hanging="720"/>
      </w:pPr>
      <w:r>
        <w:rPr>
          <w:i w:val="0"/>
        </w:rPr>
        <w:t xml:space="preserve">International Finance Corporation. (2026). </w:t>
      </w:r>
      <w:r>
        <w:rPr>
          <w:i/>
        </w:rPr>
        <w:t>Kenya: Country private sector diagnostic</w:t>
      </w:r>
      <w:r>
        <w:rPr>
          <w:i w:val="0"/>
        </w:rPr>
        <w:t>. https://www.ifc.org/content/dam/ifc/doc/2026/kenya-private-sector-diagnostic-en.pdf</w:t>
      </w:r>
    </w:p>
    <w:p>
      <w:pPr>
        <w:spacing w:line="480" w:lineRule="auto" w:after="0"/>
        <w:ind w:left="720" w:hanging="720"/>
      </w:pPr>
      <w:r>
        <w:rPr>
          <w:i w:val="0"/>
        </w:rPr>
        <w:t xml:space="preserve">International Monetary Fund. (1995). </w:t>
      </w:r>
      <w:r>
        <w:rPr>
          <w:i/>
        </w:rPr>
        <w:t>Kenya: Recent economic developments (IMF Staff Country Report No. 95/133)</w:t>
      </w:r>
      <w:r>
        <w:rPr>
          <w:i w:val="0"/>
        </w:rPr>
        <w:t>. https://doi.org/10.5089/9781451821031.002</w:t>
      </w:r>
    </w:p>
    <w:p>
      <w:pPr>
        <w:spacing w:line="480" w:lineRule="auto" w:after="0"/>
        <w:ind w:left="720" w:hanging="720"/>
      </w:pPr>
      <w:r>
        <w:rPr>
          <w:i w:val="0"/>
        </w:rPr>
        <w:t xml:space="preserve">International Trade Administration. (2024a, 5 de julio). </w:t>
      </w:r>
      <w:r>
        <w:rPr>
          <w:i/>
        </w:rPr>
        <w:t>Kenya—Energy-electrical power systems</w:t>
      </w:r>
      <w:r>
        <w:rPr>
          <w:i w:val="0"/>
        </w:rPr>
        <w:t>. https://www.trade.gov/country-commercial-guides/kenya-energy-electrical-power-systems</w:t>
      </w:r>
    </w:p>
    <w:p>
      <w:pPr>
        <w:spacing w:line="480" w:lineRule="auto" w:after="0"/>
        <w:ind w:left="720" w:hanging="720"/>
      </w:pPr>
      <w:r>
        <w:rPr>
          <w:i w:val="0"/>
        </w:rPr>
        <w:t xml:space="preserve">International Trade Administration. (2024b, 5 de julio). </w:t>
      </w:r>
      <w:r>
        <w:rPr>
          <w:i/>
        </w:rPr>
        <w:t>Kenya—Market overview</w:t>
      </w:r>
      <w:r>
        <w:rPr>
          <w:i w:val="0"/>
        </w:rPr>
        <w:t>. https://www.trade.gov/knowledge-product/kenya-market-overview</w:t>
      </w:r>
    </w:p>
    <w:p>
      <w:pPr>
        <w:spacing w:line="480" w:lineRule="auto" w:after="0"/>
        <w:ind w:left="720" w:hanging="720"/>
      </w:pPr>
      <w:r>
        <w:rPr>
          <w:i w:val="0"/>
        </w:rPr>
        <w:t xml:space="preserve">InvestKenya. (s. f.). </w:t>
      </w:r>
      <w:r>
        <w:rPr>
          <w:i/>
        </w:rPr>
        <w:t>Agriculture and livestock</w:t>
      </w:r>
      <w:r>
        <w:rPr>
          <w:i w:val="0"/>
        </w:rPr>
        <w:t>. https://www.investkenya.go.ke/agriculture-and-livestock-3/</w:t>
      </w:r>
    </w:p>
    <w:p>
      <w:pPr>
        <w:spacing w:line="480" w:lineRule="auto" w:after="0"/>
        <w:ind w:left="720" w:hanging="720"/>
      </w:pPr>
      <w:r>
        <w:rPr>
          <w:i w:val="0"/>
        </w:rPr>
        <w:t xml:space="preserve">Kenya National Bureau of Statistics. (2025a). </w:t>
      </w:r>
      <w:r>
        <w:rPr>
          <w:i/>
        </w:rPr>
        <w:t>2023/24 Kenya housing survey basic report</w:t>
      </w:r>
      <w:r>
        <w:rPr>
          <w:i w:val="0"/>
        </w:rPr>
        <w:t>. https://www.knbs.or.ke/wp-content/uploads/2025/01/2023-24-Kenya-Housing-Survey-Basic-Report1.pdf</w:t>
      </w:r>
    </w:p>
    <w:p>
      <w:pPr>
        <w:spacing w:line="480" w:lineRule="auto" w:after="0"/>
        <w:ind w:left="720" w:hanging="720"/>
      </w:pPr>
      <w:r>
        <w:rPr>
          <w:i w:val="0"/>
        </w:rPr>
        <w:t xml:space="preserve">Kenya National Bureau of Statistics. (2025b). </w:t>
      </w:r>
      <w:r>
        <w:rPr>
          <w:i/>
        </w:rPr>
        <w:t>Gross county product 2025</w:t>
      </w:r>
      <w:r>
        <w:rPr>
          <w:i w:val="0"/>
        </w:rPr>
        <w:t>. https://www.knbs.or.ke/wp-content/uploads/2025/12/2025-Gross-County-Product.pdf</w:t>
      </w:r>
    </w:p>
    <w:p>
      <w:pPr>
        <w:spacing w:line="480" w:lineRule="auto" w:after="0"/>
        <w:ind w:left="720" w:hanging="720"/>
      </w:pPr>
      <w:r>
        <w:rPr>
          <w:i w:val="0"/>
        </w:rPr>
        <w:t xml:space="preserve">Kenya National Bureau of Statistics. (2026). </w:t>
      </w:r>
      <w:r>
        <w:rPr>
          <w:i/>
        </w:rPr>
        <w:t>Economic survey 2026</w:t>
      </w:r>
      <w:r>
        <w:rPr>
          <w:i w:val="0"/>
        </w:rPr>
        <w:t>. https://www.knbs.or.ke/reports/2026-economic-survey/</w:t>
      </w:r>
    </w:p>
    <w:p>
      <w:pPr>
        <w:spacing w:line="480" w:lineRule="auto" w:after="0"/>
        <w:ind w:left="720" w:hanging="720"/>
      </w:pPr>
      <w:r>
        <w:rPr>
          <w:i w:val="0"/>
        </w:rPr>
        <w:t xml:space="preserve">Kenya Ports Authority. (s. f.). </w:t>
      </w:r>
      <w:r>
        <w:rPr>
          <w:i/>
        </w:rPr>
        <w:t>Port of Mombasa</w:t>
      </w:r>
      <w:r>
        <w:rPr>
          <w:i w:val="0"/>
        </w:rPr>
        <w:t>. https://www.kpa.co.ke/Ports/PortOfMombasa</w:t>
      </w:r>
    </w:p>
    <w:p>
      <w:pPr>
        <w:spacing w:line="480" w:lineRule="auto" w:after="0"/>
        <w:ind w:left="720" w:hanging="720"/>
      </w:pPr>
      <w:r>
        <w:rPr>
          <w:i w:val="0"/>
        </w:rPr>
        <w:t xml:space="preserve">Kenya Railways. (2026, 2 de septiembre). </w:t>
      </w:r>
      <w:r>
        <w:rPr>
          <w:i/>
        </w:rPr>
        <w:t>Riruta–Ngong commuter rail project moves into stakeholder engagement phase</w:t>
      </w:r>
      <w:r>
        <w:rPr>
          <w:i w:val="0"/>
        </w:rPr>
        <w:t>. https://krc.co.ke/riruta-ngong-commuter-rail-project-moves-into-stakeholder-engagement-phase/</w:t>
      </w:r>
    </w:p>
    <w:p>
      <w:pPr>
        <w:spacing w:line="480" w:lineRule="auto" w:after="0"/>
        <w:ind w:left="720" w:hanging="720"/>
      </w:pPr>
      <w:r>
        <w:rPr>
          <w:i w:val="0"/>
        </w:rPr>
        <w:t xml:space="preserve">Kenya Revenue Authority. (s. f.). </w:t>
      </w:r>
      <w:r>
        <w:rPr>
          <w:i/>
        </w:rPr>
        <w:t>Has KRA already implemented AfCFTA?</w:t>
      </w:r>
      <w:r>
        <w:rPr>
          <w:i w:val="0"/>
        </w:rPr>
        <w:t xml:space="preserve"> https://www.kra.go.ke/component/kra_faq/faq/555</w:t>
      </w:r>
    </w:p>
    <w:p>
      <w:pPr>
        <w:spacing w:line="480" w:lineRule="auto" w:after="0"/>
        <w:ind w:left="720" w:hanging="720"/>
      </w:pPr>
      <w:r>
        <w:rPr>
          <w:i w:val="0"/>
        </w:rPr>
        <w:t xml:space="preserve">National Council for Population and Development. (2025, 12 de marzo). </w:t>
      </w:r>
      <w:r>
        <w:rPr>
          <w:i/>
        </w:rPr>
        <w:t>Press release</w:t>
      </w:r>
      <w:r>
        <w:rPr>
          <w:i w:val="0"/>
        </w:rPr>
        <w:t>. https://ncpd.go.ke/2025/03/12/press-release/</w:t>
      </w:r>
    </w:p>
    <w:p>
      <w:pPr>
        <w:spacing w:line="480" w:lineRule="auto" w:after="0"/>
        <w:ind w:left="720" w:hanging="720"/>
      </w:pPr>
      <w:r>
        <w:rPr>
          <w:i w:val="0"/>
        </w:rPr>
        <w:t xml:space="preserve">The National Treasury. (2025). </w:t>
      </w:r>
      <w:r>
        <w:rPr>
          <w:i/>
        </w:rPr>
        <w:t>Budget review and outlook paper</w:t>
      </w:r>
      <w:r>
        <w:rPr>
          <w:i w:val="0"/>
        </w:rPr>
        <w:t>. https://www.treasury.go.ke/wp-content/uploads/2025/10/2025-Budget-Review-and-Outlook-Paper.pdf</w:t>
      </w:r>
    </w:p>
    <w:p>
      <w:pPr>
        <w:spacing w:line="480" w:lineRule="auto" w:after="0"/>
        <w:ind w:left="720" w:hanging="720"/>
      </w:pPr>
      <w:r>
        <w:rPr>
          <w:i w:val="0"/>
        </w:rPr>
        <w:t xml:space="preserve">President of the Republic of Kenya. (2024, 17 de febrero). </w:t>
      </w:r>
      <w:r>
        <w:rPr>
          <w:i/>
        </w:rPr>
        <w:t>AU appoints President Ruto the champion for institutional reform</w:t>
      </w:r>
      <w:r>
        <w:rPr>
          <w:i w:val="0"/>
        </w:rPr>
        <w:t>. https://www.president.go.ke/au-assembly-of-heads-of-state-and-government-appoints-president-ruto/</w:t>
      </w:r>
    </w:p>
    <w:p>
      <w:pPr>
        <w:spacing w:line="480" w:lineRule="auto" w:after="0"/>
        <w:ind w:left="720" w:hanging="720"/>
      </w:pPr>
      <w:r>
        <w:rPr>
          <w:i w:val="0"/>
        </w:rPr>
        <w:t xml:space="preserve">Private Infrastructure Development Group. (2025, 17 de noviembre). </w:t>
      </w:r>
      <w:r>
        <w:rPr>
          <w:i/>
        </w:rPr>
        <w:t>PIDG anchors Acorn’s new REIT to finance affordable housing for Kenya’s young urbanites</w:t>
      </w:r>
      <w:r>
        <w:rPr>
          <w:i w:val="0"/>
        </w:rPr>
        <w:t>. https://pidg.org/pidg-anchors-acorns-new-reit-to-finance-affordable-housing-for-kenyas-young-urbanites/</w:t>
      </w:r>
    </w:p>
    <w:p>
      <w:pPr>
        <w:spacing w:line="480" w:lineRule="auto" w:after="0"/>
        <w:ind w:left="720" w:hanging="720"/>
      </w:pPr>
      <w:r>
        <w:rPr>
          <w:i w:val="0"/>
        </w:rPr>
        <w:t xml:space="preserve">Robinson, H. J., Mwangi, B., &amp; Atkinson, B. (2025, 24 de febrero). </w:t>
      </w:r>
      <w:r>
        <w:rPr>
          <w:i/>
        </w:rPr>
        <w:t>Understanding the tenants of Fusion Capital’s rental properties in Nairobi, Kenya</w:t>
      </w:r>
      <w:r>
        <w:rPr>
          <w:i w:val="0"/>
        </w:rPr>
        <w:t>. Reall. https://reall.net/blog/understanding-the-tenants-of-fusion-capitals-rental-properties-in-nairobi-kenya/</w:t>
      </w:r>
    </w:p>
    <w:p>
      <w:pPr>
        <w:spacing w:line="480" w:lineRule="auto" w:after="0"/>
        <w:ind w:left="720" w:hanging="720"/>
      </w:pPr>
      <w:r>
        <w:rPr>
          <w:i w:val="0"/>
        </w:rPr>
        <w:t xml:space="preserve">Safaricom. (s. f.). </w:t>
      </w:r>
      <w:r>
        <w:rPr>
          <w:i/>
        </w:rPr>
        <w:t>M-PESA Bill Manager for Rent Solution: User manual</w:t>
      </w:r>
      <w:r>
        <w:rPr>
          <w:i w:val="0"/>
        </w:rPr>
        <w:t>. https://www.safaricom.co.ke/images/Downloads/m-pesa-bill-manager-for-rent-solution.pdf</w:t>
      </w:r>
    </w:p>
    <w:p>
      <w:pPr>
        <w:spacing w:line="480" w:lineRule="auto" w:after="0"/>
        <w:ind w:left="720" w:hanging="720"/>
      </w:pPr>
      <w:r>
        <w:rPr>
          <w:i w:val="0"/>
        </w:rPr>
        <w:t xml:space="preserve">Shah, S., Zamara, &amp; Centre for Affordable Housing Finance in Africa. (2026, 19 de mayo). </w:t>
      </w:r>
      <w:r>
        <w:rPr>
          <w:i/>
        </w:rPr>
        <w:t>Affordable housing access for Kenya’s formal workforce: What pension data reveals and what can work</w:t>
      </w:r>
      <w:r>
        <w:rPr>
          <w:i w:val="0"/>
        </w:rPr>
        <w:t>. FSD Kenya. https://www.fsdkenya.org/blogs-publications/publications/affordable-housing-access-for-kenyas-formal-workforce-what-pension-data-reveals-and-what-can-work/</w:t>
      </w:r>
    </w:p>
    <w:p>
      <w:pPr>
        <w:spacing w:line="480" w:lineRule="auto" w:after="0"/>
        <w:ind w:left="720" w:hanging="720"/>
      </w:pPr>
      <w:r>
        <w:rPr>
          <w:i w:val="0"/>
        </w:rPr>
        <w:t xml:space="preserve">United Nations Conference on Trade and Development. (2025a). </w:t>
      </w:r>
      <w:r>
        <w:rPr>
          <w:i/>
        </w:rPr>
        <w:t>COMESA investment report 2025: Investment trends and policy insights</w:t>
      </w:r>
      <w:r>
        <w:rPr>
          <w:i w:val="0"/>
        </w:rPr>
        <w:t>. https://unctad.org/system/files/official-document/diae2025d2_en.pdf</w:t>
      </w:r>
    </w:p>
    <w:p>
      <w:pPr>
        <w:spacing w:line="480" w:lineRule="auto" w:after="0"/>
        <w:ind w:left="720" w:hanging="720"/>
      </w:pPr>
      <w:r>
        <w:rPr>
          <w:i w:val="0"/>
        </w:rPr>
        <w:t xml:space="preserve">United Nations Conference on Trade and Development. (2025b). </w:t>
      </w:r>
      <w:r>
        <w:rPr>
          <w:i/>
        </w:rPr>
        <w:t>World investment report 2025: Country fact sheet—Kenya</w:t>
      </w:r>
      <w:r>
        <w:rPr>
          <w:i w:val="0"/>
        </w:rPr>
        <w:t>. https://unctad.org/system/files/non-official-document/wir_fs_ke_en.pdf</w:t>
      </w:r>
    </w:p>
    <w:p>
      <w:pPr>
        <w:spacing w:line="480" w:lineRule="auto" w:after="0"/>
        <w:ind w:left="720" w:hanging="720"/>
      </w:pPr>
      <w:r>
        <w:rPr>
          <w:i w:val="0"/>
        </w:rPr>
        <w:t xml:space="preserve">World Bank. (1984). </w:t>
      </w:r>
      <w:r>
        <w:rPr>
          <w:i/>
        </w:rPr>
        <w:t>Kenya: First structural adjustment credit (Credit 999-KE)—Program performance audit report (Report No. 4934)</w:t>
      </w:r>
      <w:r>
        <w:rPr>
          <w:i w:val="0"/>
        </w:rPr>
        <w:t>. https://documents1.worldbank.org/curated/en/731241468915067971/pdf/Kenya-Structural-Adjustment-Credits-Project.pdf</w:t>
      </w:r>
    </w:p>
    <w:p>
      <w:pPr>
        <w:spacing w:line="480" w:lineRule="auto" w:after="0"/>
        <w:ind w:left="720" w:hanging="720"/>
      </w:pPr>
      <w:r>
        <w:rPr>
          <w:i w:val="0"/>
        </w:rPr>
        <w:t xml:space="preserve">World Bank. (2004). </w:t>
      </w:r>
      <w:r>
        <w:rPr>
          <w:i/>
        </w:rPr>
        <w:t>Strengthening the foundation of education and training in Kenya: Opportunities and challenges in primary and general secondary education</w:t>
      </w:r>
      <w:r>
        <w:rPr>
          <w:i w:val="0"/>
        </w:rPr>
        <w:t xml:space="preserve"> (Report No. 28064-KE). https://documents.worldbank.org/curated/en/801891468773756126/pdf/280640KE.pdf</w:t>
      </w:r>
    </w:p>
    <w:p>
      <w:pPr>
        <w:spacing w:line="480" w:lineRule="auto" w:after="0"/>
        <w:ind w:left="720" w:hanging="720"/>
      </w:pPr>
      <w:r>
        <w:rPr>
          <w:i w:val="0"/>
        </w:rPr>
        <w:t xml:space="preserve">World Bank. (2020). </w:t>
      </w:r>
      <w:r>
        <w:rPr>
          <w:i/>
        </w:rPr>
        <w:t>Kenya systematic country diagnostic</w:t>
      </w:r>
      <w:r>
        <w:rPr>
          <w:i w:val="0"/>
        </w:rPr>
        <w:t>. https://documents1.worldbank.org/curated/en/531731600090213005/pdf/kenya-systematic-country-diagnostic.pdf</w:t>
      </w:r>
    </w:p>
    <w:p>
      <w:pPr>
        <w:spacing w:line="480" w:lineRule="auto" w:after="0"/>
        <w:ind w:left="720" w:hanging="720"/>
      </w:pPr>
      <w:r>
        <w:rPr>
          <w:i w:val="0"/>
        </w:rPr>
        <w:t xml:space="preserve">World Bank. (2024, 10 de diciembre). </w:t>
      </w:r>
      <w:r>
        <w:rPr>
          <w:i/>
        </w:rPr>
        <w:t>Reforms are needed to stem a slow-down in Kenya’s economic growth</w:t>
      </w:r>
      <w:r>
        <w:rPr>
          <w:i w:val="0"/>
        </w:rPr>
        <w:t>. https://www.worldbank.org/en/news/press-release/2024/12/10/reforms-are-needed-to-stem-a-slow-down-in-afe-kenya-s-economic-growth</w:t>
      </w:r>
    </w:p>
    <w:p>
      <w:pPr>
        <w:spacing w:line="480" w:lineRule="auto" w:after="0"/>
        <w:ind w:left="720" w:hanging="720"/>
      </w:pPr>
      <w:r>
        <w:rPr>
          <w:i w:val="0"/>
        </w:rPr>
        <w:t xml:space="preserve">World Bank. (2025a). </w:t>
      </w:r>
      <w:r>
        <w:rPr>
          <w:i/>
        </w:rPr>
        <w:t>KE-Affordable Housing Finance Project 2 (P513352): Project information document—Concept stage</w:t>
      </w:r>
      <w:r>
        <w:rPr>
          <w:i w:val="0"/>
        </w:rPr>
        <w:t>. https://documents1.worldbank.org/curated/en/099110325061011952/pdf/P513352-0609df2c-002a-40d7-9b38-99a1c3b6ef3c.pdf</w:t>
      </w:r>
    </w:p>
    <w:p>
      <w:pPr>
        <w:spacing w:line="480" w:lineRule="auto" w:after="0"/>
        <w:ind w:left="720" w:hanging="720"/>
      </w:pPr>
      <w:r>
        <w:rPr>
          <w:i w:val="0"/>
        </w:rPr>
        <w:t xml:space="preserve">World Bank. (2025b). </w:t>
      </w:r>
      <w:r>
        <w:rPr>
          <w:i/>
        </w:rPr>
        <w:t>Kenya economic update 32: From barriers to bridges—Procompetitive reforms for productivity and jobs in Kenya</w:t>
      </w:r>
      <w:r>
        <w:rPr>
          <w:i w:val="0"/>
        </w:rPr>
        <w:t>. https://documents1.worldbank.org/curated/en/099112125062524216/pdf/P507067-4f692fc7-8081-4630-9dd2-d3768ce9defc.pdf</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60" w:lineRule="auto"/>
    </w:pPr>
    <w:rPr>
      <w:rFonts w:ascii="DejaVu Sans" w:hAnsi="DejaVu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DejaVu Sans" w:hAnsi="DejaVu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DejaVu Sans" w:hAnsi="DejaVu San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DejaVu Sans" w:hAnsi="DejaVu Sans"/>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Kenia y la vivienda de alquiler en Nairobi</dc:title>
  <dc:subject/>
  <dc:creator>Cristina Moro</dc:creator>
  <cp:keywords/>
  <dc:description>generated by python-docx</dc:description>
  <cp:lastModifiedBy/>
  <cp:revision>1</cp:revision>
  <dcterms:created xsi:type="dcterms:W3CDTF">2013-12-23T23:15:00Z</dcterms:created>
  <dcterms:modified xsi:type="dcterms:W3CDTF">2013-12-23T23:15:00Z</dcterms:modified>
  <cp:category/>
</cp:coreProperties>
</file>