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Kenia y la vivienda de alquiler para trabajadores en Nairobi</w:t>
      </w:r>
    </w:p>
    <w:p>
      <w:r>
        <w:rPr>
          <w:b/>
        </w:rPr>
        <w:t>Cristina Moro · África en el siglo XXI</w:t>
      </w:r>
    </w:p>
    <w:p>
      <w:pPr>
        <w:pStyle w:val="Heading1"/>
      </w:pPr>
      <w:r>
        <w:t>1. Introducción</w:t>
      </w:r>
    </w:p>
    <w:p>
      <w:r>
        <w:t>Kenia alcanzó la independencia en 1963 con una economía y unas relaciones de acceso a la tierra marcadas por el dominio colonial. La expansión de la pequeña agricultura y la intervención pública dieron paso, desde los años ochenta, a reformas de liberalización y a una mayor participación privada (Gamba &amp; Kibaara, 2007). El crecimiento posterior de los servicios y la innovación ha convivido con diferencias de acceso al empleo y a las oportunidades. Este trabajo plantea que la construcción de vivienda para alquiler en Nairobi puede atraer inversión y mejorar las condiciones de vida de trabajadores, siempre que el producto sea compatible con sus ingresos y se apoye en suelo jurídicamente seguro, servicios adecuados y contratos previsibles. El marco de instituciones inclusivas y extractivas de Acemoglu y Robinson permitirá examinar quién accede a esas oportunidades y cómo se distribuyen los beneficios. Se elige Acorn Holdings como empresa de cabecera y se compara con IHS y Fusion Capital.</w:t>
      </w:r>
    </w:p>
    <w:p>
      <w:pPr>
        <w:pStyle w:val="Heading1"/>
      </w:pPr>
      <w:r>
        <w:t>2. Características del mercado e integración regional</w:t>
      </w:r>
    </w:p>
    <w:p>
      <w:r>
        <w:t>Kenia es un mercado de 53,3 millones de habitantes según la proyección nacional para 2025, recogida por KNBS y el Consejo Nacional de Población y Desarrollo. Se utiliza la serie demográfica nacional (Kenya National Bureau of Statistics, 2026; National Council for Population and Development, 2025). El PIB nominal alcanzó aproximadamente 17,58 billones de chelines en 2025 (Central Bank of Kenya, s. f.; Kenya National Bureau of Statistics, 2026). Esta cifra permite dimensionar la economía nacional. Para estimar la demanda de vivienda del proyecto, es necesario analizar los ingresos, gastos y necesidades de los hogares a los que se dirige.</w:t>
      </w:r>
    </w:p>
    <w:p>
      <w:r>
        <w:rPr>
          <w:i w:val="0"/>
        </w:rPr>
        <w:t xml:space="preserve">Según el </w:t>
      </w:r>
      <w:r>
        <w:rPr>
          <w:i/>
        </w:rPr>
        <w:t>Economic Survey 2026</w:t>
      </w:r>
      <w:r>
        <w:rPr>
          <w:i w:val="0"/>
        </w:rPr>
        <w:t xml:space="preserve"> de KNBS, el PIB real de Kenia creció un 4,6 % en 2025, frente al 4,7 % de 2024. El Banco Central de Kenia reproduce estas cifras en su serie de PIB anual (Central Bank of Kenya, s. f.; Kenya National Bureau of Statistics, 2026). Para valorar las implicaciones de este crecimiento sobre la demanda de alquiler en Nairobi, es necesario estudiar los ingresos y la estabilidad laboral de los hogares destinatarios.</w:t>
      </w:r>
    </w:p>
    <w:p>
      <w:r>
        <w:t>El informe Gross County Product 2025 identifica a Nairobi como la ciudad-condado que más valor añadido genera en el país. Esta concentración de actividad justifica estudiar su mercado residencial. Para diseñar la promoción, sin embargo, es necesario identificar qué hogares podrían alquilarla y cómo accederían desde ella a sus centros de trabajo (Kenya National Bureau of Statistics, 2025).</w:t>
      </w:r>
    </w:p>
    <w:p>
      <w:r>
        <w:t>Por lo tanto, se puede dilucidar que el mercado laboral limita el tamaño de la demanda solvente. La encuesta económica de KNBS muestra que la mayor parte del empleo creado en 2025 se concentró en el sector informal. La estadística excluye la pequeña agricultura rural y las actividades pastoriles y se refiere al país, no específicamente a Nairobi. Por ello, el crecimiento agregado resulta insuficiente para estimar la estabilidad de los ingresos de los futuros inquilinos (Kenya National Bureau of Statistics, 2026).</w:t>
      </w:r>
    </w:p>
    <w:p>
      <w:r>
        <w:t>Para estudiar la capacidad de pago también hay que conocer los gastos y obligaciones del hogar. Un estudio de Zamara, CAHF y FSD Kenya publicado en 2026 identifica restricciones de acceso a vivienda incluso entre personas vinculadas a fondos de pensiones. El cliente propuesto será, por ello, un hogar pequeño de trabajadores con ingresos documentables, sin presentar el proyecto como solución para toda la población de bajos ingresos (Shah et al., 2026).</w:t>
      </w:r>
    </w:p>
    <w:p>
      <w:r>
        <w:t>Kenia participa en la integración africana a través de la Unión Africana y de acuerdos continentales y subregionales (InfoTradeKenya, s. f.). La Comunidad de África Oriental reúne actualmente ocho Estados. Somalia se incorporó como miembro pleno en marzo de 2024. La EAC favorece un marco de cooperación económica cuya relación con el proyecto sería indirecta: actividad empresarial, inversión y movilidad. El mercado residencial de la promoción seguirá siendo local (East African Community, s. f.).</w:t>
      </w:r>
    </w:p>
    <w:p>
      <w:r>
        <w:t>Kenia también participa en la AfCFTA. El portal oficial de comercio distingue la entrada en vigor del acuerdo, en mayo de 2019, del inicio del comercio en enero de 2021. Su aplicación gradual exige distinguir la pertenencia al acuerdo de las condiciones efectivas de acceso a cada mercado. Para una vivienda situada en Nairobi, sus efectos deben analizarse mediante empleo, proveedores e inversión, sin atribuirle una demanda residencial garantizada (InfoTradeKenya, s. f.).</w:t>
      </w:r>
    </w:p>
    <w:p>
      <w:pPr>
        <w:pStyle w:val="Heading1"/>
      </w:pPr>
      <w:r>
        <w:t>3. Activos productivos y condiciones para invertir</w:t>
      </w:r>
    </w:p>
    <w:p>
      <w:r>
        <w:t>La experiencia en servicios digitales ofrece herramientas para gestionar el alquiler. M-Pesa ilustra el uso de telefonía móvil para transferir dinero, aunque el acceso a estos servicios presenta desigualdades (Banco Mundial, 2020). Para un operador residencial, los pagos digitales pueden facilitar cobros y registros. Se trata de una posible mejora de gestión; la solvencia del inquilino depende de sus ingresos y obligaciones.</w:t>
      </w:r>
    </w:p>
    <w:p>
      <w:r>
        <w:t>Otro activo es la existencia de organizaciones capaces de desarrollar y gestionar vivienda con inversión institucional. La ficha de IFC sobre IHS describe desarrollo y adquisición de vivienda en Nairobi y otras zonas urbanas, con criterios de eficiencia de recursos y colaboración con promotores. Este precedente muestra una vía para organizar capital destinado a vivienda. Una nueva operación necesitaría justificar su demanda, sus costes y la modalidad de tenencia (International Finance Corporation, 2024).</w:t>
      </w:r>
    </w:p>
    <w:p>
      <w:r>
        <w:t xml:space="preserve">El contexto de inversión debe distinguir flujos anuales y capital acumulado. La ficha keniana del </w:t>
      </w:r>
      <w:r>
        <w:rPr>
          <w:i/>
        </w:rPr>
        <w:t>World Investment Report 2025</w:t>
      </w:r>
      <w:r>
        <w:t xml:space="preserve"> de UNCTAD registra entradas de IED de 1.503 millones de dólares en 2024; su informe COMESA 2025 las redondea a 1.500 millones. Se trata de flujos nacionales, no de recursos disponibles para vivienda. Ambas publicaciones comparten la base de UNCTAD: su coincidencia permite contrastar la cifra, pero no constituye una medición independiente. El dato corresponde a 2024 según la edición 2025 (UNCTAD, 2025a, 2025b).</w:t>
      </w:r>
    </w:p>
    <w:p>
      <w:r>
        <w:t>La iniciativa de Acorn para ampliar el alquiler y el programa de IHS muestran precedentes de organización institucional de capital. Su desarrollo es una oportunidad condicionada por demanda y ejecución, no una promesa automática de financiación del proyecto (Private Infrastructure Development Group, 2025).</w:t>
      </w:r>
    </w:p>
    <w:p>
      <w:r>
        <w:t>El suelo requiere un tratamiento institucional específico. La Constitución establece en su artículo 65 que las personas no ciudadanas pueden disponer de suelo mediante leasehold por un máximo de 99 años, y define cuándo una sociedad se considera ciudadana a estos efectos. Antes de adquirir la parcela habrá que comprobar el título, la duración del derecho y la estructura de propiedad de la sociedad inversora (Constitution of Kenya, 2010).</w:t>
      </w:r>
    </w:p>
    <w:p>
      <w:r>
        <w:t>El funcionamiento de agua, saneamiento, electricidad y transporte condiciona el coste de residencia. Estas condiciones deben verificarse en la ubicación elegida: las capacidades nacionales no aseguran servicios suficientes para una parcela concreta. La evaluación del inmueble incluirá tanto su calidad constructiva como los gastos y las condiciones de uso para sus residentes.</w:t>
      </w:r>
    </w:p>
    <w:p>
      <w:pPr>
        <w:pStyle w:val="Heading1"/>
      </w:pPr>
      <w:r>
        <w:t>4. Evolución económica y análisis institucional</w:t>
      </w:r>
    </w:p>
    <w:p>
      <w:pPr>
        <w:pStyle w:val="Heading2"/>
      </w:pPr>
      <w:r>
        <w:t>4.1. Independencia, expansión y límites del modelo inicial</w:t>
      </w:r>
    </w:p>
    <w:p>
      <w:r>
        <w:t>El diagnóstico sistemático del Banco Mundial de 2020 distingue una primera fase de crecimiento intenso tras la independencia, un periodo prolongado de desaceleración y una recuperación posterior. La expansión inicial descansó en capacidades agrícolas y políticas de promoción económica; la desaceleración posterior mostró sus límites. La relación entre decisiones públicas, incentivos privados y acceso a recursos explica mejor esa trayectoria que una clasificación permanente del país como éxito o fracaso (Banco Mundial, 2020).</w:t>
      </w:r>
    </w:p>
    <w:p>
      <w:r>
        <w:t>La trayectoria inicial estuvo relacionada con la expansión agrícola y la transformación de la participación de pequeños productores. El análisis de políticas también sitúa la liberalización en una secuencia posterior de retirada de determinadas funciones públicas y mayor intervención privada. Desde el marco institucional, la pregunta relevante es qué grupos pudieron utilizar los nuevos derechos y oportunidades, y cuáles quedaron excluidos. La existencia de propiedad privada no equivale, por sí sola, a acceso inclusivo a la tierra, financiación o servicios (Gamba &amp; Kibaara, 2007).</w:t>
      </w:r>
    </w:p>
    <w:p>
      <w:pPr>
        <w:pStyle w:val="Heading2"/>
      </w:pPr>
      <w:r>
        <w:t>4.2. Restricciones externas, ajuste y costes sociales</w:t>
      </w:r>
    </w:p>
    <w:p>
      <w:r>
        <w:t>Desde 1980, los programas de ajuste estructural impulsaron la liberalización de la economía keniana. Buscaban aumentar la participación privada y orientar la producción hacia mercados externos. Este proceso debe examinarse junto con las restricciones heredadas y las decisiones internas, evitando atribuir los resultados a una única causa (Gamba &amp; Kibaara, 2007).</w:t>
      </w:r>
    </w:p>
    <w:p>
      <w:r>
        <w:t>Los objetivos de eficiencia y estabilización deben contrastarse con la distribución de los costes. El informe de desarrollo humano de Kenia patrocinado por PNUD describe reformas de privatización, empleo público y gasto, además de barreras de acceso a servicios para grupos vulnerables. Esta perspectiva complementa el registro financiero de los organismos acreedores: una reforma puede alterar incentivos y, simultáneamente, reducir la capacidad de determinados hogares para cubrir necesidades. No basta con juzgarla por una sola variable macroeconómica (</w:t>
      </w:r>
      <w:r>
        <w:rPr>
          <w:i/>
        </w:rPr>
        <w:t>Kenya National Human Development Report 2006</w:t>
      </w:r>
      <w:r>
        <w:t>, 2006).</w:t>
      </w:r>
    </w:p>
    <w:p>
      <w:r>
        <w:t>Estas reformas ayudan a entender por qué la capacidad de pago no puede deducirse únicamente del salario. Si el hogar debe asumir más gastos de servicios esenciales, dispone de menos recursos para vivienda. El alquiler se evaluará dentro de ese presupuesto, relacionando la trayectoria económica con las condiciones de los clientes.</w:t>
      </w:r>
    </w:p>
    <w:p>
      <w:pPr>
        <w:pStyle w:val="Heading2"/>
      </w:pPr>
      <w:r>
        <w:t>4.3. Recuperación, servicios y Africa Rising</w:t>
      </w:r>
    </w:p>
    <w:p>
      <w:r>
        <w:t>La recuperación posterior se apoyó en el dinamismo de los servicios. El diagnóstico del Banco Mundial de 2020 destaca su contribución al crecimiento y, al mismo tiempo, las dificultades de productividad, empleo e inclusión. La experiencia keniana matiza la narrativa de Africa Rising: el crecimiento de los servicios ofrece una trayectoria distinta de la expansión apoyada en un recurso extractivo, pero tampoco asegura por sí mismo una mejora general de las condiciones de vida (Banco Mundial, 2020).</w:t>
      </w:r>
    </w:p>
    <w:p>
      <w:r>
        <w:t>El desarrollo de pagos móviles añade una dimensión institucional: una innovación puede reducir obstáculos para operar en la economía. Sin embargo, extender los medios de pago no distribuye automáticamente la productividad ni elimina las diferencias territoriales. Para defender una inversión residencial se necesita comprobar que existen clientes capaces de mantener el alquiler, y que el proyecto no se limita a atender al segmento con mayores ingresos mientras se presenta como respuesta general al problema urbano.</w:t>
      </w:r>
    </w:p>
    <w:p>
      <w:pPr>
        <w:pStyle w:val="Heading2"/>
      </w:pPr>
      <w:r>
        <w:t>4.4. Pandemia, recuperación y restricciones recientes</w:t>
      </w:r>
    </w:p>
    <w:p>
      <w:r>
        <w:t>La pandemia mostró la vulnerabilidad de los ingresos y la diferencia entre actividad agregada y bienestar. La serie de KNBS publicada en 2026 y la tabla de PIB anual del CBK sitúan la contracción de 2020 en el 0,3 % y el rebote de 2021 en el 7,6 %. Esta edición revisa el 7,5 % de publicaciones anteriores. El repunte reflejó reapertura y recuperación sectorial, por lo que no debe extrapolarse como ritmo permanente. Además, que ambas instituciones reproduzcan la serie nacional no constituye una estimación independiente (Central Bank of Kenya, s. f.; Kenya National Bureau of Statistics, 2026).</w:t>
      </w:r>
    </w:p>
    <w:p>
      <w:r>
        <w:t>Los shocks climáticos añaden otra limitación. El Economic Update de diciembre de 2024 señala que las inundaciones de ese año afectaron a medios de vida, especialmente urbanos, y limitaron el consumo. Para una promoción de alquiler, drenaje, exposición de la parcela y continuidad de servicios forman parte del análisis económico. Una vivienda físicamente disponible puede ser una mala solución si sus usuarios afrontan interrupciones o costes que no pueden asumir (Banco Mundial, 2024).</w:t>
      </w:r>
    </w:p>
    <w:p>
      <w:r>
        <w:t>La situación fiscal exige prudencia con las propuestas públicas. El Budget Review and Outlook Paper de 2025 sitúa la deuda pública bruta en el 68,8 % del PIB para el ejercicio 2024/25, como resultado preliminar; el Economic Update del Banco Mundial de noviembre de 2025 recoge la misma ratio. No es una medición del año natural 2025 ni de octubre de 2026. Su implicación para el plan es evitar que la viabilidad dependa de incentivos fiscales amplios o de infraestructura pública cuya financiación no se haya identificado (Banco Mundial, 2025; The National Treasury, 2025).</w:t>
      </w:r>
    </w:p>
    <w:p>
      <w:pPr>
        <w:keepNext/>
      </w:pPr>
      <w:r>
        <w:rPr>
          <w:b/>
        </w:rPr>
        <w:t>Figura 1</w:t>
      </w:r>
    </w:p>
    <w:p>
      <w:pPr>
        <w:keepNext/>
      </w:pPr>
      <w:r>
        <w:rPr>
          <w:i/>
        </w:rPr>
        <w:t>Crecimiento de Kenia: crisis y recuperación</w:t>
      </w:r>
    </w:p>
    <w:p>
      <w:pPr>
        <w:keepNext/>
      </w:pPr>
      <w:r>
        <w:drawing>
          <wp:inline xmlns:a="http://schemas.openxmlformats.org/drawingml/2006/main" xmlns:pic="http://schemas.openxmlformats.org/drawingml/2006/picture">
            <wp:extent cx="5852160" cy="2535936"/>
            <wp:docPr id="1" name="Picture 1"/>
            <wp:cNvGraphicFramePr>
              <a:graphicFrameLocks noChangeAspect="1"/>
            </wp:cNvGraphicFramePr>
            <a:graphic>
              <a:graphicData uri="http://schemas.openxmlformats.org/drawingml/2006/picture">
                <pic:pic>
                  <pic:nvPicPr>
                    <pic:cNvPr id="0" name="01_crecimiento_pib_APA.png"/>
                    <pic:cNvPicPr/>
                  </pic:nvPicPr>
                  <pic:blipFill>
                    <a:blip r:embed="rId10"/>
                    <a:stretch>
                      <a:fillRect/>
                    </a:stretch>
                  </pic:blipFill>
                  <pic:spPr>
                    <a:xfrm>
                      <a:off x="0" y="0"/>
                      <a:ext cx="5852160" cy="2535936"/>
                    </a:xfrm>
                    <a:prstGeom prst="rect"/>
                  </pic:spPr>
                </pic:pic>
              </a:graphicData>
            </a:graphic>
          </wp:inline>
        </w:drawing>
      </w:r>
    </w:p>
    <w:p>
      <w:pPr>
        <w:spacing w:line="264" w:lineRule="auto" w:after="200"/>
      </w:pPr>
      <w:r>
        <w:rPr>
          <w:i/>
          <w:sz w:val="18"/>
        </w:rPr>
        <w:t>Nota.</w:t>
      </w:r>
      <w:r>
        <w:rPr>
          <w:sz w:val="18"/>
        </w:rPr>
        <w:t xml:space="preserve"> Elaboración propia a partir de </w:t>
      </w:r>
      <w:r>
        <w:rPr>
          <w:i/>
          <w:sz w:val="18"/>
        </w:rPr>
        <w:t>Economic Survey 2026</w:t>
      </w:r>
      <w:r>
        <w:rPr>
          <w:sz w:val="18"/>
        </w:rPr>
        <w:t xml:space="preserve"> (Kenya National Bureau of Statistics, 2026) y </w:t>
      </w:r>
      <w:r>
        <w:rPr>
          <w:i/>
          <w:sz w:val="18"/>
        </w:rPr>
        <w:t>Annual GDP</w:t>
      </w:r>
      <w:r>
        <w:rPr>
          <w:sz w:val="18"/>
        </w:rPr>
        <w:t xml:space="preserve"> (Central Bank of Kenya, s. f.). Años seleccionados; serie revisada.</w:t>
      </w:r>
    </w:p>
    <w:p>
      <w:pPr>
        <w:pStyle w:val="Heading2"/>
      </w:pPr>
      <w:r>
        <w:t>4.5. Instituciones y transformación del crecimiento en bienestar</w:t>
      </w:r>
    </w:p>
    <w:p>
      <w:r>
        <w:t xml:space="preserve">El marco de Acemoglu y Robinson, desarrollado en </w:t>
      </w:r>
      <w:r>
        <w:rPr>
          <w:i/>
        </w:rPr>
        <w:t>Why Nations Fail</w:t>
      </w:r>
      <w:r>
        <w:t xml:space="preserve"> (2012), permite relacionar estas etapas sin atribuir todos los resultados al colonialismo ni a una única reforma. El análisis considera mecanismos concretos: cuando obtener un título o un permiso depende de contactos y rentas, disminuye la competencia y se concentra el acceso al suelo; cuando las reglas son previsibles y exigibles, más actores pueden invertir y contratar. Estos mecanismos son hipótesis interpretativas que deben contrastarse con el caso, no efectos medidos por este informe (Acemoglu &amp; Robinson, 2012). Este enfoque permite examinar diferencias entre ámbitos institucionales de Kenia, sin clasificar al país de forma uniforme como inclusivo o extractivo.</w:t>
      </w:r>
    </w:p>
    <w:p>
      <w:r>
        <w:t>Freedom House considera al país parcialmente libre en su edición de 2026 y describe elecciones competitivas junto con problemas de corrupción y actuación de las fuerzas de seguridad. Es una evaluación de derechos y libertades, no una medida directa del riesgo de una promoción ni un sustituto del análisis legal. Sirve para cuestionar la equivalencia entre dinamismo económico y calidad institucional (Freedom House, 2026).</w:t>
      </w:r>
    </w:p>
    <w:p>
      <w:r>
        <w:t>La aplicación al proyecto combina protección de la inversión y derechos del inquilino: revisión del suelo, contratación comprensible, competencia entre proveedores y publicidad de los cargos. Una operación que mejore edificios pero desplace a trabajadores o los obligue a un esfuerzo insostenible no demostraría inclusión. El DAFO recoge esa tensión entre capacidades empresariales y restricciones de ingresos, servicios y gobernanza.</w:t>
      </w:r>
    </w:p>
    <w:p>
      <w:pPr>
        <w:pStyle w:val="Heading1"/>
      </w:pPr>
      <w:r>
        <w:t>5. DAFO de la economía aplicado a la vivienda de alquiler</w:t>
      </w:r>
    </w:p>
    <w:p>
      <w:r>
        <w:t>El DAFO relaciona los hallazgos anteriores con las condiciones que deberá reunir la inversión.</w:t>
      </w:r>
    </w:p>
    <w:tbl>
      <w:tblPr>
        <w:tblW w:type="auto" w:w="0"/>
        <w:jc w:val="center"/>
        <w:tblLayout w:type="fixed"/>
        <w:tblLook w:firstColumn="1" w:firstRow="1" w:lastColumn="0" w:lastRow="0" w:noHBand="0" w:noVBand="1" w:val="04A0"/>
      </w:tblPr>
      <w:tblGrid>
        <w:gridCol w:w="4658"/>
        <w:gridCol w:w="4658"/>
      </w:tblGrid>
      <w:tr>
        <w:trPr>
          <w:cantSplit/>
          <w:tblHeader/>
        </w:trPr>
        <w:tc>
          <w:tcPr>
            <w:tcW w:type="dxa" w:w="4658"/>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20"/>
              </w:rPr>
              <w:t>Mirada interna</w:t>
            </w:r>
          </w:p>
        </w:tc>
        <w:tc>
          <w:tcPr>
            <w:tcW w:type="dxa" w:w="4658"/>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20"/>
              </w:rPr>
              <w:t>Mirada externa</w:t>
            </w:r>
          </w:p>
        </w:tc>
      </w:tr>
      <w:tr>
        <w:trPr>
          <w:cantSplit/>
        </w:trPr>
        <w:tc>
          <w:tcPr>
            <w:tcW w:type="dxa" w:w="46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b/>
                <w:sz w:val="20"/>
              </w:rPr>
              <w:t>Fortalezas:</w:t>
            </w:r>
            <w:r>
              <w:rPr>
                <w:sz w:val="20"/>
              </w:rPr>
              <w:t xml:space="preserve"> concentración de actividad en Nairobi; experiencia en servicios y pagos digitales; presencia de promotores y vehículos institucionales de vivienda. Estas capacidades permiten estudiar una oferta de alquiler gestionada profesionalmente (§§ 2–3).</w:t>
            </w:r>
          </w:p>
        </w:tc>
        <w:tc>
          <w:tcPr>
            <w:tcW w:type="dxa" w:w="46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b/>
                <w:sz w:val="20"/>
              </w:rPr>
              <w:t>Oportunidades:</w:t>
            </w:r>
            <w:r>
              <w:rPr>
                <w:sz w:val="20"/>
              </w:rPr>
              <w:t xml:space="preserve"> integración regional y posibilidades de captar capital de largo plazo, ilustradas por el programa de IHS y la iniciativa de Acorn. Su aprovechamiento exige convertir los marcos y compromisos en proyectos ejecutables (§§ 2–3).</w:t>
            </w:r>
          </w:p>
        </w:tc>
      </w:tr>
      <w:tr>
        <w:trPr>
          <w:cantSplit/>
        </w:trPr>
        <w:tc>
          <w:tcPr>
            <w:tcW w:type="dxa" w:w="4658"/>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b/>
                <w:sz w:val="20"/>
              </w:rPr>
              <w:t>Debilidades:</w:t>
            </w:r>
            <w:r>
              <w:rPr>
                <w:sz w:val="20"/>
              </w:rPr>
              <w:t xml:space="preserve"> creación insuficiente de empleo formal, restricciones de capacidad de pago y problemas de gobernanza. El suelo y los servicios requieren comprobación local. La necesidad residencial no equivale a demanda solvente (§§ 2–4).</w:t>
            </w:r>
          </w:p>
        </w:tc>
        <w:tc>
          <w:tcPr>
            <w:tcW w:type="dxa" w:w="4658"/>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b/>
                <w:sz w:val="20"/>
              </w:rPr>
              <w:t>Amenazas:</w:t>
            </w:r>
            <w:r>
              <w:rPr>
                <w:sz w:val="20"/>
              </w:rPr>
              <w:t xml:space="preserve"> shocks climáticos, dificultades de financiación y volatilidad económica. La presión fiscal limita la capacidad de respaldar inversiones y los hogares pueden perder margen de gasto durante una crisis (§ 4.4).</w:t>
            </w:r>
          </w:p>
        </w:tc>
      </w:tr>
    </w:tbl>
    <w:p>
      <w:pPr>
        <w:spacing w:after="0"/>
      </w:pPr>
    </w:p>
    <w:p>
      <w:r>
        <w:t>Las fortalezas y oportunidades justifican explorar el proyecto, mientras las debilidades y amenazas condicionan su diseño. La respuesta a ingresos limitados debe ser ajustar producto y costes; la respuesta a riesgos climáticos, escoger y diseñar bien la parcela; y la respuesta a incertidumbre institucional, asegurar trazabilidad y reglas contractuales. Estas condiciones guían el plan de inversión.</w:t>
      </w:r>
    </w:p>
    <w:p>
      <w:pPr>
        <w:pStyle w:val="Heading1"/>
      </w:pPr>
      <w:r>
        <w:t>6. Propuesta de inversión y plan de acción</w:t>
      </w:r>
    </w:p>
    <w:p>
      <w:pPr>
        <w:pStyle w:val="Heading2"/>
      </w:pPr>
      <w:r>
        <w:t>6.1. Sector, producto y modalidad de inversión</w:t>
      </w:r>
    </w:p>
    <w:p>
      <w:r>
        <w:t>Se propone ampliar la inversión en vivienda construida para alquiler de larga duración en Nairobi. La ubicación de estudio es Riruta y el público prioritario son hogares pequeños de trabajadores con ingresos regulares, incluidos autónomos capaces de documentarlos. El producto combinaría estudios y viviendas de un dormitorio. La proporción, superficie y número de unidades se decidirían después de comprobar demanda y costes; la propuesta no presupone que exista ya una parcela disponible.</w:t>
      </w:r>
    </w:p>
    <w:p>
      <w:r>
        <w:t>La elección frente a vivienda para venta responde al objetivo del trabajo: atender una necesidad residencial sin exigir una compra ni un compromiso hipotecario al cliente. Frente a oficinas o alojamiento turístico, permite vincular más directamente la inversión con condiciones de vida de trabajadores. La elección responde a ese objetivo residencial; no implica que sea el segmento más rentable.</w:t>
      </w:r>
    </w:p>
    <w:p>
      <w:r>
        <w:t>Riruta se selecciona como zona de estudio porque existen actuaciones residenciales documentadas en ella. El estudio ambiental de 2025 del proyecto Keza–IHS, alojado por NEMA, sitúa esa promoción en Ndwaru Road, Dagoretti South, Nairobi, y señala necesidades locales de seguridad peatonal. Es una referencia para estudiar competencia, accesos y servicios, aunque sus conclusiones corresponden a otra promoción y no se pueden trasladar a una parcela de Acorn (Centric Africa Ltd., 2025).</w:t>
      </w:r>
    </w:p>
    <w:p>
      <w:r>
        <w:t>La capacidad de pago se evaluará sobre ingreso neto del hogar, alquiler, servicios, depósito y transporte. El estudio de trabajadores de FSD Kenya confirma que la estabilidad laboral no elimina restricciones presupuestarias, pero no proporciona una mediana representativa de Riruta. Por eso no se fija una tarifa ni se califica el producto como asequible de antemano. Se propone vivienda para un segmento de trabajadores con capacidad acreditada, reconociendo que el de menor ingreso podría necesitar otra estructura de costes o apoyo específico.</w:t>
      </w:r>
    </w:p>
    <w:p>
      <w:r>
        <w:t>La modalidad propuesta sería capital de largo plazo asociado a un promotor-operador local, con propiedad y gestión unificadas durante la explotación. Esto permite responsabilizar a un mismo proyecto de conservación, cobros y servicio al inquilino. La entrada de un inversor extranjero podría canalizarse mediante una participación en el vehículo propietario, sujeta a la estructura legal y financiera aplicable; no toda suscripción de un producto financiero constituye automáticamente IED.</w:t>
      </w:r>
    </w:p>
    <w:p>
      <w:r>
        <w:t>Frente a estudiar una nueva implantación en Kampala o Kigali, se prioriza aprovechar las capacidades kenianas ya documentadas de Acorn e IHS. Esta elección reduce el número de capacidades que habría que construir desde cero y permite concentrar el análisis en producto y clientes. Es una ventaja de ejecución propuesta, no una superioridad demostrada de Nairobi en rentabilidad o costes.</w:t>
      </w:r>
    </w:p>
    <w:p>
      <w:pPr>
        <w:pStyle w:val="Heading2"/>
      </w:pPr>
      <w:r>
        <w:t>6.2. Empresas objetivo y empresa de cabecera</w:t>
      </w:r>
    </w:p>
    <w:p>
      <w:r>
        <w:rPr>
          <w:b/>
        </w:rPr>
        <w:t>Acorn Holdings</w:t>
      </w:r>
      <w:r>
        <w:t xml:space="preserve"> es la empresa de cabecera elegida porque combina desarrollo, propiedad y gestión de alquiler. Su estrategia corporativa plantea extender su experiencia desde estudiantes hacia jóvenes profesionales y, posteriormente, familias. Esto encaja con trabajadores que comienzan una etapa residencial independiente, aunque obliga a comprobar que sus ingresos y necesidades corresponden al producto. La experiencia estudiantil es transferible en gestión, pero no demuestra por sí sola aceptación de viviendas para parejas o familias (Acorn Holdings, s. f.).</w:t>
      </w:r>
    </w:p>
    <w:p>
      <w:r>
        <w:t>La selección también responde a una iniciativa concreta. PIDG anunció el 17 de noviembre de 2025 la autorización de un Acorn Build-To-Rent Development REIT destinado a jóvenes urbanos que han terminado sus estudios, con capital comprometido para su establecimiento. El anuncio respalda la coherencia estratégica de nuestra propuesta; no acredita que haya una promoción de Acorn en Riruta ni viviendas terminadas para estos clientes. El trabajo plantea una posible ampliación, no atribuye a la empresa decisiones que no ha anunciado (Private Infrastructure Development Group, 2025).</w:t>
      </w:r>
    </w:p>
    <w:p>
      <w:r>
        <w:t>Su aportación potencial sería organizar diseño, contratación, captación de capital y explotación, además de implantar mantenimiento y atención al inquilino. El valor añadido local deberá concretarse en empleo, formación y compras a proveedores, sin dar por hecho que se produzca por la sola presencia de una empresa institucional. La integración de desarrollo y gestión permitiría asignarle responsabilidades durante la construcción y el uso del inmueble.</w:t>
      </w:r>
    </w:p>
    <w:p>
      <w:r>
        <w:t>El mercado potencial de Acorn comprende hogares que valoren estabilidad, servicios y proximidad al empleo. Su disposición a pagar debe contrastarse con alternativas existentes. Se propone consultar empleadores y organizaciones profesionales, sin limitar el acceso a empleados de una única empresa ni convertir una intención de interés en una reserva firme.</w:t>
      </w:r>
    </w:p>
    <w:p>
      <w:r>
        <w:t>La continuidad de Acorn como cabecera estará condicionada al ajuste entre costes e ingresos. Un producto que solo resulte viable para hogares de mayor poder adquisitivo requeriría redefinir su alcance. La profesionalización aportará inclusión si mejora estabilidad y servicios a un coste asumible; su contribución debe verificarse mediante resultados de los residentes.</w:t>
      </w:r>
    </w:p>
    <w:p>
      <w:r>
        <w:rPr>
          <w:b/>
        </w:rPr>
        <w:t>International Housing Solutions (IHS)</w:t>
      </w:r>
      <w:r>
        <w:t xml:space="preserve"> es una segunda empresa objetivo por su experiencia en fondos de vivienda y su programa keniano. La documentación de IFC contempla alquiler, venta y alquiler con opción de compra; por ello, habría que acordar expresamente una operación destinada a alquiler permanente. Se estudiaría como alternativa para captar y gestionar capital, sin presumir que dispone de fondos comprometidos para esta promoción (International Finance Corporation, 2024).</w:t>
      </w:r>
    </w:p>
    <w:p>
      <w:r>
        <w:rPr>
          <w:b/>
        </w:rPr>
        <w:t>Fusion Capital</w:t>
      </w:r>
      <w:r>
        <w:t xml:space="preserve"> es la alternativa regional por su experiencia documentada de vivienda de alquiler. El estudio de Reall sobre sus inquilinos permite observar mejoras residenciales junto con dificultades de asequibilidad, aunque su muestra no representa a toda Nairobi. Aporta una comparación útil sobre cómo equilibrar calidad y precio. No se propone que las tres empresas formen un consorcio: se selecciona Acorn y se explican las alternativas (Robinson et al., 2025).</w:t>
      </w:r>
    </w:p>
    <w:p>
      <w:pPr>
        <w:pStyle w:val="Heading2"/>
      </w:pPr>
      <w:r>
        <w:t>6.3. Plan 360º responsables, plazos e indicadores</w:t>
      </w:r>
    </w:p>
    <w:p>
      <w:r>
        <w:t>El calendario es una propuesta propia desde el inicio del estudio. La apertura dependerá de parcela, permisos, diseño y financiación; los plazos no son compromisos de empresas o autoridades.</w:t>
      </w:r>
    </w:p>
    <w:tbl>
      <w:tblPr>
        <w:tblW w:type="auto" w:w="0"/>
        <w:jc w:val="center"/>
        <w:tblLayout w:type="fixed"/>
        <w:tblLook w:firstColumn="1" w:firstRow="1" w:lastColumn="0" w:lastRow="0" w:noHBand="0" w:noVBand="1" w:val="04A0"/>
      </w:tblPr>
      <w:tblGrid>
        <w:gridCol w:w="1512"/>
        <w:gridCol w:w="2592"/>
        <w:gridCol w:w="1872"/>
        <w:gridCol w:w="1368"/>
        <w:gridCol w:w="1973"/>
      </w:tblGrid>
      <w:tr>
        <w:trPr>
          <w:cantSplit/>
          <w:tblHeader/>
        </w:trPr>
        <w:tc>
          <w:tcPr>
            <w:tcW w:type="dxa" w:w="1512"/>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18"/>
              </w:rPr>
              <w:t>Palanca</w:t>
            </w:r>
          </w:p>
        </w:tc>
        <w:tc>
          <w:tcPr>
            <w:tcW w:type="dxa" w:w="2592"/>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18"/>
              </w:rPr>
              <w:t>Actuación propuesta</w:t>
            </w:r>
          </w:p>
        </w:tc>
        <w:tc>
          <w:tcPr>
            <w:tcW w:type="dxa" w:w="1872"/>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18"/>
              </w:rPr>
              <w:t>Responsable propuesto</w:t>
            </w:r>
          </w:p>
        </w:tc>
        <w:tc>
          <w:tcPr>
            <w:tcW w:type="dxa" w:w="1368"/>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18"/>
              </w:rPr>
              <w:t>Plazo orientativo</w:t>
            </w:r>
          </w:p>
        </w:tc>
        <w:tc>
          <w:tcPr>
            <w:tcW w:type="dxa" w:w="1973"/>
            <w:vAlign w:val="center"/>
            <w:tcBorders>
              <w:top w:val="single" w:sz="4" w:color="D9D9D9"/>
              <w:left w:val="single" w:sz="4" w:color="D9D9D9"/>
              <w:bottom w:val="single" w:sz="4" w:color="D9D9D9"/>
              <w:right w:val="single" w:sz="4" w:color="D9D9D9"/>
            </w:tcBorders>
            <w:shd w:fill="E8EEF1"/>
            <w:tcMar>
              <w:top w:w="90" w:type="dxa"/>
              <w:left w:w="90" w:type="dxa"/>
              <w:bottom w:w="90" w:type="dxa"/>
              <w:right w:w="90" w:type="dxa"/>
            </w:tcMar>
          </w:tcPr>
          <w:p>
            <w:pPr>
              <w:spacing w:line="264" w:lineRule="auto" w:after="60" w:before="60"/>
            </w:pPr>
            <w:r>
              <w:rPr>
                <w:b/>
                <w:sz w:val="18"/>
              </w:rPr>
              <w:t>Evidencia de ejecución</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Formación y capital humano</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Identificar perfiles de obra y gestión; acordar prácticas remuneradas y formación con un centro técnico local</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Promotor, contratista y centro formativo seleccionado</w:t>
            </w:r>
          </w:p>
        </w:tc>
        <w:tc>
          <w:tcPr>
            <w:tcW w:type="dxa" w:w="13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Diseño en meses 0–6; ejecución durante obra y operación</w:t>
            </w:r>
          </w:p>
        </w:tc>
        <w:tc>
          <w:tcPr>
            <w:tcW w:type="dxa" w:w="197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Personas formadas, certificaciones, contratación y continuidad laboral</w:t>
            </w:r>
          </w:p>
        </w:tc>
      </w:tr>
      <w:tr>
        <w:trPr>
          <w:cantSplit/>
        </w:trPr>
        <w:tc>
          <w:tcPr>
            <w:tcW w:type="dxa" w:w="151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Marco legislativo y regulatorio</w:t>
            </w:r>
          </w:p>
        </w:tc>
        <w:tc>
          <w:tcPr>
            <w:tcW w:type="dxa" w:w="259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Revisar título, uso permitido, estructura de inversión y permisos; preparar contrato y cargos comprensibles</w:t>
            </w:r>
          </w:p>
        </w:tc>
        <w:tc>
          <w:tcPr>
            <w:tcW w:type="dxa" w:w="187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Asesoría local, promotor y autoridades competentes</w:t>
            </w:r>
          </w:p>
        </w:tc>
        <w:tc>
          <w:tcPr>
            <w:tcW w:type="dxa" w:w="1368"/>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Comprobaciones iniciales en meses 0–6; autorizaciones antes de cada fase</w:t>
            </w:r>
          </w:p>
        </w:tc>
        <w:tc>
          <w:tcPr>
            <w:tcW w:type="dxa" w:w="1973"/>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Documentación validada y registro de solicitudes y resoluciones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Infraestructura</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Comparar parcelas por agua, saneamiento, drenaje, energía y transporte; definir conexiones y mantenimiento</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Equipo técnico, operadores de servicios y condado</w:t>
            </w:r>
          </w:p>
        </w:tc>
        <w:tc>
          <w:tcPr>
            <w:tcW w:type="dxa" w:w="13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Evaluación en meses 0–6; acuerdos antes de obra</w:t>
            </w:r>
          </w:p>
        </w:tc>
        <w:tc>
          <w:tcPr>
            <w:tcW w:type="dxa" w:w="197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Costes de conexión, continuidad prevista y verificación técnica</w:t>
            </w:r>
          </w:p>
        </w:tc>
      </w:tr>
      <w:tr>
        <w:trPr>
          <w:cantSplit/>
        </w:trPr>
        <w:tc>
          <w:tcPr>
            <w:tcW w:type="dxa" w:w="151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Incentivos administrativos</w:t>
            </w:r>
          </w:p>
        </w:tc>
        <w:tc>
          <w:tcPr>
            <w:tcW w:type="dxa" w:w="259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Solicitar coordinación de trámites e información pública de requisitos, sin eximir controles ni presuponer ventajas fiscales</w:t>
            </w:r>
          </w:p>
        </w:tc>
        <w:tc>
          <w:tcPr>
            <w:tcW w:type="dxa" w:w="1872"/>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Promotor, Invest Kenya y condado</w:t>
            </w:r>
          </w:p>
        </w:tc>
        <w:tc>
          <w:tcPr>
            <w:tcW w:type="dxa" w:w="1368"/>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Durante preparación y autorizaciones</w:t>
            </w:r>
          </w:p>
        </w:tc>
        <w:tc>
          <w:tcPr>
            <w:tcW w:type="dxa" w:w="1973"/>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line="264" w:lineRule="auto" w:after="60" w:before="60"/>
            </w:pPr>
            <w:r>
              <w:rPr>
                <w:sz w:val="18"/>
              </w:rPr>
              <w:t>Requisitos documentados, incidencias y tiempos observados</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Gestión e impacto</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Establecer compras locales, atención al inquilino y evaluación del coste total de residencia</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Promotor-operador y proveedores</w:t>
            </w:r>
          </w:p>
        </w:tc>
        <w:tc>
          <w:tcPr>
            <w:tcW w:type="dxa" w:w="13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Desde la contratación; revisión tras apertura</w:t>
            </w:r>
          </w:p>
        </w:tc>
        <w:tc>
          <w:tcPr>
            <w:tcW w:type="dxa" w:w="197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line="264" w:lineRule="auto" w:after="60" w:before="60"/>
            </w:pPr>
            <w:r>
              <w:rPr>
                <w:sz w:val="18"/>
              </w:rPr>
              <w:t>Compras locales, mantenimiento, reclamaciones y esfuerzo de pago</w:t>
            </w:r>
          </w:p>
        </w:tc>
      </w:tr>
    </w:tbl>
    <w:p>
      <w:pPr>
        <w:spacing w:after="0"/>
      </w:pPr>
    </w:p>
    <w:p>
      <w:r>
        <w:t>La carta de servicios del condado distingue aprobación de planos, inspecciones y certificado de ocupación. Cada función exige una comprobación distinta. La presentación de un expediente no sustituye las autorizaciones correspondientes; tampoco asegura que se cumplan los tiempos administrativos anunciados (Nairobi City County Government, 2025).</w:t>
      </w:r>
    </w:p>
    <w:p>
      <w:pPr>
        <w:pStyle w:val="Heading2"/>
      </w:pPr>
      <w:r>
        <w:t>6.4. Financiación, ejecución y condiciones para avanzar</w:t>
      </w:r>
    </w:p>
    <w:p>
      <w:r>
        <w:t>Antes de comprometer la construcción, el promotor deberá comparar ingresos de alquiler razonablemente sustentados con suelo, obra, financiación, mantenimiento, seguros, gestión y vacancia. La evaluación debe incluir menor ocupación, retrasos de entrega y aumento de costes. Si existen costes o deuda en divisas frente a alquileres en chelines, deberá explicarse cómo se limita ese desajuste. No se presupone disponibilidad de cobertura ni financiación concesional.</w:t>
      </w:r>
    </w:p>
    <w:p>
      <w:r>
        <w:t>Se recomienda avanzar por decisiones sucesivas: primero, demanda y parcelas; después, diseño, costes y permisos; finalmente, financiación y contratación. Cada fase debe tener una salida posible si el proyecto no alcanza sus condiciones mínimas. El acceso a servicios y la capacidad de pago serán condiciones de aprobación, no mejoras aplazadas hasta después de comercializar.</w:t>
      </w:r>
    </w:p>
    <w:p>
      <w:r>
        <w:t>Las restricciones presupuestarias del país justifican priorizar la coordinación administrativa frente a exenciones fiscales generales. Cualquier apoyo adicional tendría que identificar fundamento legal, coste y beneficiarios. La formación o una mejora ambiental solo justificarían apoyo si sus resultados son verificables y no se limitan a compromisos de marketing.</w:t>
      </w:r>
    </w:p>
    <w:p>
      <w:r>
        <w:t>El seguimiento combinará ocupación y cobro con calidad del servicio, resolución de reclamaciones y coste total para los residentes. Las metas se fijarán cuando exista línea de base. Se evaluará también si la actuación desplaza a ocupantes o actividades existentes: una mejora del inmueble que expulse al público al que se pretende atender contradiría la justificación del proyecto.</w:t>
      </w:r>
    </w:p>
    <w:p>
      <w:pPr>
        <w:pStyle w:val="Heading1"/>
      </w:pPr>
      <w:r>
        <w:t>7. Conclusión</w:t>
      </w:r>
    </w:p>
    <w:p>
      <w:r>
        <w:t>Kenia ofrece capacidades empresariales y urbanas que hacen razonable estudiar inversión residencial de largo plazo en Nairobi. Sin embargo, su evolución económica muestra que crecimiento, innovación y mejora del bienestar no avanzan necesariamente al mismo ritmo. La informalidad, las restricciones fiscales y la desigualdad de acceso a oportunidades condicionan tanto la necesidad de vivienda como la capacidad efectiva de pagarla.</w:t>
      </w:r>
    </w:p>
    <w:p>
      <w:r>
        <w:t>La propuesta elige construcción para alquiler, Acorn como cabecera y Riruta como ubicación de estudio. La decisión se apoya en capacidades existentes y una estrategia empresarial compatible, mientras IHS y Fusion permiten contrastar otras formas de organizar capital y operación. No demuestra todavía una rentabilidad ni una demanda garantizadas; plantea una actuación cuya aprobación depende de pruebas de mercado y viabilidad.</w:t>
      </w:r>
    </w:p>
    <w:p>
      <w:r>
        <w:t>Desde Acemoglu y Robinson, el criterio decisivo es cómo se organizan los derechos y las oportunidades. Contratos claros, suelo seguro, servicios y financiación deben proteger al inversor y hacer posible una residencia estable para el trabajador. El plan asigna responsabilidades para comprobar esas condiciones. La evaluación deberá atender a la sostenibilidad del negocio y a la mejora residencial que ofrece a los trabajadores.</w:t>
      </w:r>
    </w:p>
    <w:p>
      <w:r>
        <w:br w:type="page"/>
      </w:r>
    </w:p>
    <w:p>
      <w:pPr>
        <w:pStyle w:val="Heading1"/>
      </w:pPr>
      <w:r>
        <w:t>Referencias</w:t>
      </w:r>
    </w:p>
    <w:p>
      <w:pPr>
        <w:keepLines/>
        <w:spacing w:line="288" w:lineRule="auto"/>
        <w:ind w:left="720" w:hanging="720"/>
      </w:pPr>
      <w:r>
        <w:rPr>
          <w:sz w:val="21"/>
        </w:rPr>
        <w:t xml:space="preserve">Acemoglu, D., &amp; Robinson, J. A. (2012). </w:t>
      </w:r>
      <w:r>
        <w:rPr>
          <w:i/>
          <w:sz w:val="21"/>
        </w:rPr>
        <w:t>Why nations fail: The origins of power, prosperity, and poverty</w:t>
      </w:r>
      <w:r>
        <w:rPr>
          <w:sz w:val="21"/>
        </w:rPr>
        <w:t>. Crown. https://www.penguinrandomhouseretail.com/book/?isbn=9780307719218</w:t>
      </w:r>
    </w:p>
    <w:p>
      <w:pPr>
        <w:keepLines/>
        <w:spacing w:line="288" w:lineRule="auto"/>
        <w:ind w:left="720" w:hanging="720"/>
      </w:pPr>
      <w:r>
        <w:rPr>
          <w:sz w:val="21"/>
        </w:rPr>
        <w:t xml:space="preserve">Acorn Holdings (s. f.). </w:t>
      </w:r>
      <w:r>
        <w:rPr>
          <w:i/>
          <w:sz w:val="21"/>
        </w:rPr>
        <w:t>Overview</w:t>
      </w:r>
      <w:r>
        <w:rPr>
          <w:sz w:val="21"/>
        </w:rPr>
        <w:t>. Recuperado el 21 de octubre de 2026, de https://acornholdingsafrica.com/overview/</w:t>
      </w:r>
    </w:p>
    <w:p>
      <w:pPr>
        <w:keepLines/>
        <w:spacing w:line="288" w:lineRule="auto"/>
        <w:ind w:left="720" w:hanging="720"/>
      </w:pPr>
      <w:r>
        <w:rPr>
          <w:sz w:val="21"/>
        </w:rPr>
        <w:t xml:space="preserve">Banco Mundial (2020). </w:t>
      </w:r>
      <w:r>
        <w:rPr>
          <w:i/>
          <w:sz w:val="21"/>
        </w:rPr>
        <w:t>Kenya systematic country diagnostic</w:t>
      </w:r>
      <w:r>
        <w:rPr>
          <w:sz w:val="21"/>
        </w:rPr>
        <w:t>. https://documents1.worldbank.org/curated/en/531731600090213005/pdf/kenya-systematic-country-diagnostic.pdf</w:t>
      </w:r>
    </w:p>
    <w:p>
      <w:pPr>
        <w:keepLines/>
        <w:spacing w:line="288" w:lineRule="auto"/>
        <w:ind w:left="720" w:hanging="720"/>
      </w:pPr>
      <w:r>
        <w:rPr>
          <w:sz w:val="21"/>
        </w:rPr>
        <w:t xml:space="preserve">Banco Mundial (2024, 10 de diciembre). </w:t>
      </w:r>
      <w:r>
        <w:rPr>
          <w:i/>
          <w:sz w:val="21"/>
        </w:rPr>
        <w:t>Reforms are needed to stem a slow-down in Kenya’s economic growth</w:t>
      </w:r>
      <w:r>
        <w:rPr>
          <w:sz w:val="21"/>
        </w:rPr>
        <w:t>. https://www.worldbank.org/en/news/press-release/2024/12/10/reforms-are-needed-to-stem-a-slow-down-in-afe-kenya-s-economic-growth</w:t>
      </w:r>
    </w:p>
    <w:p>
      <w:pPr>
        <w:keepLines/>
        <w:spacing w:line="288" w:lineRule="auto"/>
        <w:ind w:left="720" w:hanging="720"/>
      </w:pPr>
      <w:r>
        <w:rPr>
          <w:sz w:val="21"/>
        </w:rPr>
        <w:t xml:space="preserve">Banco Mundial (2025). </w:t>
      </w:r>
      <w:r>
        <w:rPr>
          <w:i/>
          <w:sz w:val="21"/>
        </w:rPr>
        <w:t>Kenya economic update 32: From barriers to bridges—Procompetitive reforms for productivity and jobs in Kenya</w:t>
      </w:r>
      <w:r>
        <w:rPr>
          <w:sz w:val="21"/>
        </w:rPr>
        <w:t>. https://documents1.worldbank.org/curated/en/099112125062524216/pdf/P507067-4f692fc7-8081-4630-9dd2-d3768ce9defc.pdf</w:t>
      </w:r>
    </w:p>
    <w:p>
      <w:pPr>
        <w:keepLines/>
        <w:spacing w:line="288" w:lineRule="auto"/>
        <w:ind w:left="720" w:hanging="720"/>
      </w:pPr>
      <w:r>
        <w:rPr>
          <w:sz w:val="21"/>
        </w:rPr>
        <w:t xml:space="preserve">Central Bank of Kenya (s. f.). </w:t>
      </w:r>
      <w:r>
        <w:rPr>
          <w:i/>
          <w:sz w:val="21"/>
        </w:rPr>
        <w:t>Annual GDP</w:t>
      </w:r>
      <w:r>
        <w:rPr>
          <w:sz w:val="21"/>
        </w:rPr>
        <w:t>. Recuperado el 21 de octubre de 2026, de https://www.centralbank.go.ke/annual-gdp/</w:t>
      </w:r>
    </w:p>
    <w:p>
      <w:pPr>
        <w:keepLines/>
        <w:spacing w:line="288" w:lineRule="auto"/>
        <w:ind w:left="720" w:hanging="720"/>
      </w:pPr>
      <w:r>
        <w:rPr>
          <w:sz w:val="21"/>
        </w:rPr>
        <w:t xml:space="preserve">Centric Africa Ltd. (2025). </w:t>
      </w:r>
      <w:r>
        <w:rPr>
          <w:i/>
          <w:sz w:val="21"/>
        </w:rPr>
        <w:t>Environmental and social impact assessment study report for the proposed Riruta Keza IHS housing developments</w:t>
      </w:r>
      <w:r>
        <w:rPr>
          <w:sz w:val="21"/>
        </w:rPr>
        <w:t>. National Environment Management Authority. https://nema.go.ke/wp-content/uploads/2025/12/IHS-Riruta-Housing_00288-min.pdf</w:t>
      </w:r>
    </w:p>
    <w:p>
      <w:pPr>
        <w:keepLines/>
        <w:spacing w:line="288" w:lineRule="auto"/>
        <w:ind w:left="720" w:hanging="720"/>
      </w:pPr>
      <w:r>
        <w:rPr>
          <w:i/>
          <w:sz w:val="21"/>
        </w:rPr>
        <w:t>Constitution of Kenya</w:t>
      </w:r>
      <w:r>
        <w:rPr>
          <w:sz w:val="21"/>
        </w:rPr>
        <w:t>, art. 65 (2010). Kenya Law Reform Commission. https://www.klrc.go.ke/index.php/constitution-of-kenya/116-chapter-five-land-and-environment/117-part-1-land/232-65-landholding-by-non-citizens</w:t>
      </w:r>
    </w:p>
    <w:p>
      <w:pPr>
        <w:keepLines/>
        <w:spacing w:line="288" w:lineRule="auto"/>
        <w:ind w:left="720" w:hanging="720"/>
      </w:pPr>
      <w:r>
        <w:rPr>
          <w:sz w:val="21"/>
        </w:rPr>
        <w:t xml:space="preserve">East African Community (s. f.). </w:t>
      </w:r>
      <w:r>
        <w:rPr>
          <w:i/>
          <w:sz w:val="21"/>
        </w:rPr>
        <w:t>EAC at a glance</w:t>
      </w:r>
      <w:r>
        <w:rPr>
          <w:sz w:val="21"/>
        </w:rPr>
        <w:t>. Recuperado el 21 de octubre de 2026, de https://www.eac.int/component/content/?Itemid=89</w:t>
      </w:r>
    </w:p>
    <w:p>
      <w:pPr>
        <w:keepLines/>
        <w:spacing w:line="288" w:lineRule="auto"/>
        <w:ind w:left="720" w:hanging="720"/>
      </w:pPr>
      <w:r>
        <w:rPr>
          <w:sz w:val="21"/>
        </w:rPr>
        <w:t xml:space="preserve">Freedom House (2026). </w:t>
      </w:r>
      <w:r>
        <w:rPr>
          <w:i/>
          <w:sz w:val="21"/>
        </w:rPr>
        <w:t>Freedom in the world 2026: Kenya</w:t>
      </w:r>
      <w:r>
        <w:rPr>
          <w:sz w:val="21"/>
        </w:rPr>
        <w:t>. https://freedomhouse.org/country/kenya/freedom-world/2026</w:t>
      </w:r>
    </w:p>
    <w:p>
      <w:pPr>
        <w:keepLines/>
        <w:spacing w:line="288" w:lineRule="auto"/>
        <w:ind w:left="720" w:hanging="720"/>
      </w:pPr>
      <w:r>
        <w:rPr>
          <w:sz w:val="21"/>
        </w:rPr>
        <w:t xml:space="preserve">Gamba, P., &amp; Kibaara, B. (2007). </w:t>
      </w:r>
      <w:r>
        <w:rPr>
          <w:i/>
          <w:sz w:val="21"/>
        </w:rPr>
        <w:t>Structural implications of economic liberalization on agriculture and rural development: RuralStruc program, phase I</w:t>
      </w:r>
      <w:r>
        <w:rPr>
          <w:sz w:val="21"/>
        </w:rPr>
        <w:t>. Egerton University, Tegemeo Institute. https://documents1.worldbank.org/curated/en/886221468048846460/pdf/779820WP0KENYA00Box377319B00PUBLIC0.pdf</w:t>
      </w:r>
    </w:p>
    <w:p>
      <w:pPr>
        <w:keepLines/>
        <w:spacing w:line="288" w:lineRule="auto"/>
        <w:ind w:left="720" w:hanging="720"/>
      </w:pPr>
      <w:r>
        <w:rPr>
          <w:sz w:val="21"/>
        </w:rPr>
        <w:t xml:space="preserve">InfoTradeKenya (s. f.). </w:t>
      </w:r>
      <w:r>
        <w:rPr>
          <w:i/>
          <w:sz w:val="21"/>
        </w:rPr>
        <w:t>AfCFTA market requirements</w:t>
      </w:r>
      <w:r>
        <w:rPr>
          <w:sz w:val="21"/>
        </w:rPr>
        <w:t>. Recuperado el 21 de octubre de 2026, de https://infotradekenya.go.ke/menu/895</w:t>
      </w:r>
    </w:p>
    <w:p>
      <w:pPr>
        <w:keepLines/>
        <w:spacing w:line="288" w:lineRule="auto"/>
        <w:ind w:left="720" w:hanging="720"/>
      </w:pPr>
      <w:r>
        <w:rPr>
          <w:sz w:val="21"/>
        </w:rPr>
        <w:t xml:space="preserve">International Finance Corporation (2024). </w:t>
      </w:r>
      <w:r>
        <w:rPr>
          <w:i/>
          <w:sz w:val="21"/>
        </w:rPr>
        <w:t>IHS Kenya: Environmental and social review summary (Project 47136)</w:t>
      </w:r>
      <w:r>
        <w:rPr>
          <w:sz w:val="21"/>
        </w:rPr>
        <w:t>. https://disclosures.ifc.org/project-detail/ESRS/47136/co</w:t>
      </w:r>
    </w:p>
    <w:p>
      <w:pPr>
        <w:keepLines/>
        <w:spacing w:line="288" w:lineRule="auto"/>
        <w:ind w:left="720" w:hanging="720"/>
      </w:pPr>
      <w:r>
        <w:rPr>
          <w:sz w:val="21"/>
        </w:rPr>
        <w:t xml:space="preserve">Kenya National Bureau of Statistics (2025). </w:t>
      </w:r>
      <w:r>
        <w:rPr>
          <w:i/>
          <w:sz w:val="21"/>
        </w:rPr>
        <w:t>Gross County Product 2025</w:t>
      </w:r>
      <w:r>
        <w:rPr>
          <w:sz w:val="21"/>
        </w:rPr>
        <w:t>. https://www.knbs.or.ke/wp-content/uploads/2025/12/2025-Gross-County-Product.pdf</w:t>
      </w:r>
    </w:p>
    <w:p>
      <w:pPr>
        <w:keepLines/>
        <w:spacing w:line="288" w:lineRule="auto"/>
        <w:ind w:left="720" w:hanging="720"/>
      </w:pPr>
      <w:r>
        <w:rPr>
          <w:sz w:val="21"/>
        </w:rPr>
        <w:t xml:space="preserve">Kenya National Bureau of Statistics (2026). </w:t>
      </w:r>
      <w:r>
        <w:rPr>
          <w:i/>
          <w:sz w:val="21"/>
        </w:rPr>
        <w:t>Economic Survey 2026</w:t>
      </w:r>
      <w:r>
        <w:rPr>
          <w:sz w:val="21"/>
        </w:rPr>
        <w:t>. https://www.knbs.or.ke/reports/2026-economic-survey/</w:t>
      </w:r>
    </w:p>
    <w:p>
      <w:pPr>
        <w:keepLines/>
        <w:spacing w:line="288" w:lineRule="auto"/>
        <w:ind w:left="720" w:hanging="720"/>
      </w:pPr>
      <w:r>
        <w:rPr>
          <w:i/>
          <w:sz w:val="21"/>
        </w:rPr>
        <w:t>Kenya national human development report 2006: Human security and human development—A deliberate choice</w:t>
      </w:r>
      <w:r>
        <w:rPr>
          <w:sz w:val="21"/>
        </w:rPr>
        <w:t>. (2006). https://hdr.undp.org/system/files/documents/kenya2006en.pdf</w:t>
      </w:r>
    </w:p>
    <w:p>
      <w:pPr>
        <w:keepLines/>
        <w:spacing w:line="288" w:lineRule="auto"/>
        <w:ind w:left="720" w:hanging="720"/>
      </w:pPr>
      <w:r>
        <w:rPr>
          <w:sz w:val="21"/>
        </w:rPr>
        <w:t xml:space="preserve">Nairobi City County Government (2025, junio). </w:t>
      </w:r>
      <w:r>
        <w:rPr>
          <w:i/>
          <w:sz w:val="21"/>
        </w:rPr>
        <w:t>Customer service charter</w:t>
      </w:r>
      <w:r>
        <w:rPr>
          <w:sz w:val="21"/>
        </w:rPr>
        <w:t>. https://nairobi.go.ke/wp-content/uploads/NCCG_Service_Charter_2025.pdf</w:t>
      </w:r>
    </w:p>
    <w:p>
      <w:pPr>
        <w:keepLines/>
        <w:spacing w:line="288" w:lineRule="auto"/>
        <w:ind w:left="720" w:hanging="720"/>
      </w:pPr>
      <w:r>
        <w:rPr>
          <w:sz w:val="21"/>
        </w:rPr>
        <w:t xml:space="preserve">National Council for Population and Development (2025, 12 de marzo). </w:t>
      </w:r>
      <w:r>
        <w:rPr>
          <w:i/>
          <w:sz w:val="21"/>
        </w:rPr>
        <w:t>Press release</w:t>
      </w:r>
      <w:r>
        <w:rPr>
          <w:sz w:val="21"/>
        </w:rPr>
        <w:t>. https://ncpd.go.ke/2025/03/12/press-release/</w:t>
      </w:r>
    </w:p>
    <w:p>
      <w:pPr>
        <w:keepLines/>
        <w:spacing w:line="288" w:lineRule="auto"/>
        <w:ind w:left="720" w:hanging="720"/>
      </w:pPr>
      <w:r>
        <w:rPr>
          <w:sz w:val="21"/>
        </w:rPr>
        <w:t xml:space="preserve">Private Infrastructure Development Group (2025, 17 de noviembre). </w:t>
      </w:r>
      <w:r>
        <w:rPr>
          <w:i/>
          <w:sz w:val="21"/>
        </w:rPr>
        <w:t>PIDG anchors Acorn’s new REIT to finance affordable housing for Kenya’s young urbanites</w:t>
      </w:r>
      <w:r>
        <w:rPr>
          <w:sz w:val="21"/>
        </w:rPr>
        <w:t>. https://pidg.org/pidg-anchors-acorns-new-reit-to-finance-affordable-housing-for-kenyas-young-urbanites/</w:t>
      </w:r>
    </w:p>
    <w:p>
      <w:pPr>
        <w:keepLines/>
        <w:spacing w:line="288" w:lineRule="auto"/>
        <w:ind w:left="720" w:hanging="720"/>
      </w:pPr>
      <w:r>
        <w:rPr>
          <w:sz w:val="21"/>
        </w:rPr>
        <w:t xml:space="preserve">Robinson, H. J., Mwangi, B., &amp; Atkinson, B. (2025, 24 de febrero). </w:t>
      </w:r>
      <w:r>
        <w:rPr>
          <w:i/>
          <w:sz w:val="21"/>
        </w:rPr>
        <w:t>Understanding the tenants of Fusion Capital’s rental properties in Nairobi, Kenya</w:t>
      </w:r>
      <w:r>
        <w:rPr>
          <w:sz w:val="21"/>
        </w:rPr>
        <w:t>. Reall. https://reall.net/blog/understanding-the-tenants-of-fusion-capitals-rental-properties-in-nairobi-kenya/</w:t>
      </w:r>
    </w:p>
    <w:p>
      <w:pPr>
        <w:keepLines/>
        <w:spacing w:line="288" w:lineRule="auto"/>
        <w:ind w:left="720" w:hanging="720"/>
      </w:pPr>
      <w:r>
        <w:rPr>
          <w:sz w:val="21"/>
        </w:rPr>
        <w:t xml:space="preserve">Shah, S., Zamara, &amp; Centre for Affordable Housing Finance in Africa (2026, 19 de mayo). </w:t>
      </w:r>
      <w:r>
        <w:rPr>
          <w:i/>
          <w:sz w:val="21"/>
        </w:rPr>
        <w:t>Affordable housing access for Kenya’s formal workforce: What pension data reveals and what can work</w:t>
      </w:r>
      <w:r>
        <w:rPr>
          <w:sz w:val="21"/>
        </w:rPr>
        <w:t>. FSD Kenya. https://www.fsdkenya.org/blogs-publications/publications/affordable-housing-access-for-kenyas-formal-workforce-what-pension-data-reveals-and-what-can-work/</w:t>
      </w:r>
    </w:p>
    <w:p>
      <w:pPr>
        <w:keepLines/>
        <w:spacing w:line="288" w:lineRule="auto"/>
        <w:ind w:left="720" w:hanging="720"/>
      </w:pPr>
      <w:r>
        <w:rPr>
          <w:sz w:val="21"/>
        </w:rPr>
        <w:t xml:space="preserve">The National Treasury (2025). </w:t>
      </w:r>
      <w:r>
        <w:rPr>
          <w:i/>
          <w:sz w:val="21"/>
        </w:rPr>
        <w:t>Budget review and outlook paper</w:t>
      </w:r>
      <w:r>
        <w:rPr>
          <w:sz w:val="21"/>
        </w:rPr>
        <w:t>. https://www.treasury.go.ke/wp-content/uploads/2025/10/2025-Budget-Review-and-Outlook-Paper.pdf</w:t>
      </w:r>
    </w:p>
    <w:p>
      <w:pPr>
        <w:keepLines/>
        <w:spacing w:line="288" w:lineRule="auto"/>
        <w:ind w:left="720" w:hanging="720"/>
      </w:pPr>
      <w:r>
        <w:rPr>
          <w:sz w:val="21"/>
        </w:rPr>
        <w:t xml:space="preserve">UNCTAD (2025a). </w:t>
      </w:r>
      <w:r>
        <w:rPr>
          <w:i/>
          <w:sz w:val="21"/>
        </w:rPr>
        <w:t>COMESA investment report 2025: Investment trends and policy insights</w:t>
      </w:r>
      <w:r>
        <w:rPr>
          <w:sz w:val="21"/>
        </w:rPr>
        <w:t>. https://unctad.org/system/files/official-document/diae2025d2_en.pdf</w:t>
      </w:r>
    </w:p>
    <w:p>
      <w:pPr>
        <w:keepLines/>
        <w:spacing w:line="288" w:lineRule="auto"/>
        <w:ind w:left="720" w:hanging="720"/>
      </w:pPr>
      <w:r>
        <w:rPr>
          <w:sz w:val="21"/>
        </w:rPr>
        <w:t xml:space="preserve">UNCTAD (2025b). </w:t>
      </w:r>
      <w:r>
        <w:rPr>
          <w:i/>
          <w:sz w:val="21"/>
        </w:rPr>
        <w:t>World investment report 2025: Country fact sheet—Kenya</w:t>
      </w:r>
      <w:r>
        <w:rPr>
          <w:sz w:val="21"/>
        </w:rPr>
        <w:t>. https://unctad.org/system/files/non-official-document/wir_fs_ke_en.pdf</w:t>
      </w:r>
    </w:p>
    <w:sectPr w:rsidR="00FC693F" w:rsidRPr="0006063C" w:rsidSect="00034616">
      <w:footerReference w:type="default" r:id="rId9"/>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Kenia y la vivienda de alquiler para trabajadores en Nairobi</dc:title>
  <dc:subject/>
  <dc:creator>Cristina Moro</dc:creator>
  <cp:keywords/>
  <dc:description>generated by python-docx</dc:description>
  <cp:lastModifiedBy/>
  <cp:revision>1</cp:revision>
  <dcterms:created xsi:type="dcterms:W3CDTF">2013-12-23T23:15:00Z</dcterms:created>
  <dcterms:modified xsi:type="dcterms:W3CDTF">2013-12-23T23:15:00Z</dcterms:modified>
  <cp:category/>
</cp:coreProperties>
</file>