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el proyecto de vivienda en Nairobi, el acuerdo podría generar oportunidades si favorece la inversión y la creación de empleo. Sin embargo, estos posibles efectos no garantizan que exista demanda para los alquileres propuestos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la solvencia del inquilino depende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