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Russia’s Resurgence in the Middle East: Egypt and Syria</w:t>
      </w:r>
    </w:p>
    <w:p>
      <w:pPr>
        <w:pStyle w:val="Heading1"/>
      </w:pPr>
      <w:r>
        <w:t>1. Introduction</w:t>
      </w:r>
    </w:p>
    <w:p>
      <w:r>
        <w:t>Egypt and Syria offer contrasting cases through which to examine Russia’s renewed engagement with the Middle East. Both have histories of cooperation with Moscow extending to the Soviet period, but their subsequent relationships with Russia developed under different domestic and international conditions (Rumer, 2019; Tudoroiu, 2015). Egypt illustrates cooperation with a government that also maintains important Western partnerships, whereas Syria illustrates a relationship shaped by military intervention and access to strategic facilities.</w:t>
      </w:r>
    </w:p>
    <w:p>
      <w:r>
        <w:t>This paper asks how Russia has combined different instruments to sustain its regional role, and what the comparison between Egypt and Syria reveals about the limits of that role. It argues that continuity in Russian objectives has coexisted with flexibility in their implementation. However, the persistence of diplomatic relations, projects or military facilities should not automatically be interpreted as an equivalent capacity to shape a partner’s decisions.</w:t>
      </w:r>
    </w:p>
    <w:p>
      <w:r>
        <w:t>The analysis is a qualitative comparison based on the literature and official documents listed below. It distinguishes presence, understood as diplomatic, economic or military involvement, from influence, understood as the capacity to affect other actors’ choices. It compares Russian objectives, instruments and constraints in the two countries, considers developments through 2025, and draws on assessments published through 2026. Official statements are treated as evidence of declared priorities rather than independent proof of policy success.</w:t>
      </w:r>
    </w:p>
    <w:p>
      <w:pPr>
        <w:pStyle w:val="Heading1"/>
      </w:pPr>
      <w:r>
        <w:t>2. Russia’s Return to the Middle East</w:t>
      </w:r>
    </w:p>
    <w:p>
      <w:pPr>
        <w:pStyle w:val="Heading2"/>
      </w:pPr>
      <w:r>
        <w:t>2.1. Long-term objectives and flexible implementation</w:t>
      </w:r>
    </w:p>
    <w:p>
      <w:r>
        <w:t>Russia’s regional re-engagement did not begin with its military intervention in Syria. During the 1990s, Moscow sought to rebuild diplomatic relationships with Arab governments, including through Foreign Minister Yevgeny Primakov’s regional diplomacy. These initiatives provided an antecedent to the more visible engagement associated with Vladimir Putin (Ghazy, 2026; United Press International, 1996). Historical continuity, however, does not establish that Russia followed a single, consistently implemented regional plan.</w:t>
      </w:r>
    </w:p>
    <w:p>
      <w:r>
        <w:t>The literature offers different interpretations of Russian policy. Kozhanov (2018) highlights the exploitation of opportunities and the management of relations with competing actors. Borshchevskaya (2024) places regional engagement within a broader competition with the United States, while Ghazy (2026) emphasizes longer-term strategic continuity. These interpretations need not be mutually exclusive: durable objectives can be pursued through selective commitments and adjustments to changing circumstances.</w:t>
      </w:r>
    </w:p>
    <w:p>
      <w:r>
        <w:t>Egypt and Syria illustrate the renewal of established relationships. Putin’s visit to Egypt in 2005 marked a prominent diplomatic initiative after the deterioration of Soviet–Egyptian relations under Anwar Sadat (Reuters, 2005). In Syria, the 2005 debt agreement contributed to a rapprochement between Moscow and Damascus (Sánchez Andrés, 2006). Both episodes demonstrate renewed engagement, but neither alone establishes how much political influence Russia subsequently acquired.</w:t>
      </w:r>
    </w:p>
    <w:p>
      <w:pPr>
        <w:pStyle w:val="Heading2"/>
      </w:pPr>
      <w:r>
        <w:t>2.2. Instruments of Russian engagement</w:t>
      </w:r>
    </w:p>
    <w:p>
      <w:pPr>
        <w:pStyle w:val="Heading3"/>
      </w:pPr>
      <w:r>
        <w:t>Ideological and institutional positioning</w:t>
      </w:r>
    </w:p>
    <w:p>
      <w:r>
        <w:t>Russia presents its foreign policy in terms of multipolarity and opposition to Western dominance. Its 2023 Foreign Policy Concept discusses relations with the Islamic world and identifies cooperation with Syria and Egypt among its priorities (Ministry of Foreign Affairs of the Russian Federation, 2023). This document establishes Moscow’s declared orientation; it does not by itself demonstrate that regional governments share Russia’s interpretation of international order.</w:t>
      </w:r>
    </w:p>
    <w:p>
      <w:r>
        <w:t>Egypt’s participation in BRICS gives institutional expression to the diversification of its international partnerships. Its engagement with Russia in that setting is relevant to Moscow’s multipolar narrative, but should not be equated with exclusive alignment or acceptance of all Russian foreign-policy positions (State Information Service, 2024). For the comparison, the important question is whether institutional participation produces specific forms of cooperation beyond diplomatic symbolism.</w:t>
      </w:r>
    </w:p>
    <w:p>
      <w:pPr>
        <w:pStyle w:val="Heading3"/>
      </w:pPr>
      <w:r>
        <w:t>Diplomatic flexibility and security cooperation</w:t>
      </w:r>
    </w:p>
    <w:p>
      <w:r>
        <w:t>Russia has maintained relations with actors whose regional objectives frequently conflict, including Iran, Turkey, Israel and Arab governments (Rumer, 2019). The Astana process illustrates its participation in negotiations involving competing interests over Syria (Mohamad, 2023). Such diplomatic access can create bargaining opportunities, but participation in a negotiating framework should be distinguished from the ability to deliver a settlement.</w:t>
      </w:r>
    </w:p>
    <w:p>
      <w:r>
        <w:t>In Egypt, cooperation with Moscow coexists with Cairo’s relations with the United States and other partners. A 2023 presidential account of the El-Sisi–Putin meeting illustrates the political importance attached to bilateral cooperation (Egyptian Presidency, 2023). Nevertheless, the relationship is better understood as part of Egypt’s diversification strategy than as evidence that Russia has replaced its other external partners. Cairo’s ability to maintain alternatives limits the degree of leverage Moscow can derive from individual agreements.</w:t>
      </w:r>
    </w:p>
    <w:p>
      <w:r>
        <w:t>In Syria, the relationship has been more directly connected to military cooperation and strategic access. Russia’s intervention and facilities at Tartus and Khmeimim gave its regional presence a military dimension that differs from its partnership with Egypt (Rumer, 2019). Assad’s fall in December 2024 altered the political foundation of that presence. Subsequent access and arrangements therefore require assessment in their own right rather than being assumed to continue unchanged (Ghazy, 2026; Kozhanov, 2025).</w:t>
      </w:r>
    </w:p>
    <w:p>
      <w:pPr>
        <w:pStyle w:val="Heading3"/>
      </w:pPr>
      <w:r>
        <w:t>Economic and technological cooperation</w:t>
      </w:r>
    </w:p>
    <w:p>
      <w:r>
        <w:t>Economic cooperation provides another distinction between the cases. In Egypt, the El Dabaa nuclear project represents a major form of Russian technological involvement. Its continuation after 2022 is relevant to the durability of the relationship, although the existence of a large project does not establish that Moscow can determine Cairo’s wider foreign policy (Ghazy, 2026). The project also recalls the political symbolism of earlier Soviet involvement in Egyptian development, without making the two historical relationships equivalent.</w:t>
      </w:r>
    </w:p>
    <w:p>
      <w:r>
        <w:t>In Syria, economic instruments have been closely connected to strategic cooperation. The settlement of Soviet-era debt helped renew bilateral relations in 2005 (Sánchez Andrés, 2006). Russia’s intervention also offered an opportunity to demonstrate military capabilities and promote its defence industry beyond Syria (Trenin, 2016). However, an opportunity to market weapons is distinct from evidence of additional sales, and potential commercial benefits should not be treated as realized gains without supporting data.</w:t>
      </w:r>
    </w:p>
    <w:p>
      <w:pPr>
        <w:pStyle w:val="Heading3"/>
      </w:pPr>
      <w:r>
        <w:t>Soft power and its limits</w:t>
      </w:r>
    </w:p>
    <w:p>
      <w:r>
        <w:t>Nye’s (2013) concept of soft power directs attention to attraction rather than coercion or material payment. This distinction matters when assessing Russian cultural, religious, educational and media activities. Borshchevskaya (2021) and Todman (2018) discuss non-military instruments of Russian engagement, including cultural and educational connections. Their existence establishes channels through which attraction might operate, but evidence of audience reception and resulting preferences is needed to assess their effectiveness.</w:t>
      </w:r>
    </w:p>
    <w:p>
      <w:r>
        <w:t>Media activity and propaganda should not automatically be classified as successful soft power: their effects depend on credibility and reception. Similarly, pragmatic diplomacy or energy cooperation can produce agreements through shared interests and material incentives without demonstrating attraction. Military and non-military instruments may reinforce one another, but this relationship must be explained rather than inferred from their simultaneous use.</w:t>
      </w:r>
    </w:p>
    <w:p>
      <w:pPr>
        <w:pStyle w:val="Heading1"/>
      </w:pPr>
      <w:r>
        <w:t>3. Regional Shocks and the Limits of Adaptation</w:t>
      </w:r>
    </w:p>
    <w:p>
      <w:r>
        <w:t>The Arab uprisings of 2011 created a more demanding setting for Russian policy. Moscow interpreted NATO’s intervention in Libya as having moved beyond civilian protection towards regime change, and this interpretation shaped its response to Syria (Ghazy, 2026). This is an account of Russian perceptions and policy reasoning, rather than an independent resolution of the legal and political debate surrounding the intervention.</w:t>
      </w:r>
    </w:p>
    <w:p>
      <w:r>
        <w:t>Before its direct intervention in 2015, Russia supported the Syrian government through diplomatic protection and security cooperation. The deterioration of relations with Western states after Russia’s annexation of Crimea in 2014 formed part of the wider context for its more assertive regional posture (Borshchevskaya, 2021; Ghazy, 2026). Moscow subsequently presented its Syrian intervention in terms of counterterrorism and governmental consent, but these official justifications should be distinguished from an assessment of its objectives, conduct and consequences (Rumer, 2019).</w:t>
      </w:r>
    </w:p>
    <w:p>
      <w:r>
        <w:t>Supporting Assad did not prevent Russia from pursuing cooperation with governments that had backed his opponents. Saudi Arabia’s engagement with Moscow, including King Salman’s 2017 visit, illustrates how energy interests could coexist with disagreement over Syria (Borshchevskaya, 2017). This wider regional example helps explain Russia’s diplomatic flexibility, but it is contextual evidence rather than a direct finding about Egypt or Syria.</w:t>
      </w:r>
    </w:p>
    <w:p>
      <w:r>
        <w:t>Russia’s full-scale invasion of Ukraine in 2022 introduced further pressures on its international position. Nevertheless, the continuation of cooperation with Egypt, including El Dabaa, indicates that regional partnerships were not simply abandoned (Ghazy, 2026). This supports a limited claim about the persistence of cooperation. Demonstrating that Russia preserved its previous level of influence would require additional evidence on bargaining outcomes, resources and implementation.</w:t>
      </w:r>
    </w:p>
    <w:p>
      <w:r>
        <w:t>Assad’s fall in December 2024 is a more demanding test of the argument. It challenged a partnership in which Russia had invested substantial military and diplomatic resources. Continued contacts with regional governments may show that Moscow retained channels of engagement, but they cannot establish that the loss of its Syrian ally carried little strategic cost (Ghazy, 2026; Kozhanov, 2025). The survival of diplomatic access, the future of military facilities and the credibility of Russia as a security partner are separate questions.</w:t>
      </w:r>
    </w:p>
    <w:p>
      <w:r>
        <w:t>Sovereignty also requires consistent treatment. Moscow’s opposition to externally imposed regime change is an important component of its regional discourse, but its invocation of sovereignty must be assessed alongside its own conduct, including in Ukraine. The analysis should therefore examine how regional governments use competing partnerships to pursue their interests, rather than assume that Russian or Western accounts provide a sufficient explanation of their choices.</w:t>
      </w:r>
    </w:p>
    <w:p>
      <w:pPr>
        <w:pStyle w:val="Heading1"/>
      </w:pPr>
      <w:r>
        <w:t>4. Comparing Egypt and Syria</w:t>
      </w:r>
    </w:p>
    <w:p>
      <w:r>
        <w:t>The two cases suggest different relationships between Russian involvement and partner autonomy. In Egypt, technological cooperation and diplomatic coordination operate within a diversified set of external relationships. In Syria under Assad, military support and strategic facilities gave security cooperation a more central role. Consequently, visible Russian involvement had different foundations and vulnerabilities in each case (Ghazy, 2026; Rumer, 2019).</w:t>
      </w:r>
    </w:p>
    <w:p>
      <w:r>
        <w:t>The comparison supports the proposition that Russia adapts its instruments to different partners, but it does not establish equal effectiveness across those instruments. Egypt’s alternatives constrain exclusive Russian leverage, while Syria’s political transition demonstrates the vulnerability of arrangements closely associated with a particular government. The evidence is therefore stronger for the persistence and adaptability of Russian engagement than for a general claim of expanding influence.</w:t>
      </w:r>
    </w:p>
    <w:p>
      <w:pPr>
        <w:pStyle w:val="Heading1"/>
      </w:pPr>
      <w:r>
        <w:t>5. Conclusion</w:t>
      </w:r>
    </w:p>
    <w:p>
      <w:r>
        <w:t>Russia’s relations with Egypt and Syria combine historical continuity with adjustments to changing political circumstances. Diplomatic engagement, technological cooperation and military involvement have allowed Moscow to maintain a regional role, but their significance differs between the two cases. Egypt illustrates cooperation within diversified external partnerships; Syria illustrates both the strategic opportunities and the political vulnerabilities of a relationship centred on security.</w:t>
      </w:r>
    </w:p>
    <w:p>
      <w:r>
        <w:t>The central finding is that adaptation can preserve channels of engagement without preserving the same level of influence. Russia’s continued regional activity should therefore neither be dismissed solely because it faces major setbacks nor treated as proof of consistent strategic success. A fuller assessment would require systematic evidence on policy outcomes, economic implementation, military access and the choices of regional governments, particularly after Assad’s fall.</w:t>
      </w:r>
    </w:p>
    <w:p>
      <w:pPr>
        <w:pStyle w:val="Heading1"/>
      </w:pPr>
      <w:r>
        <w:t>References</w:t>
      </w:r>
    </w:p>
    <w:p>
      <w:pPr>
        <w:spacing w:line="480" w:lineRule="auto"/>
        <w:ind w:left="720" w:hanging="720"/>
      </w:pPr>
      <w:r>
        <w:t xml:space="preserve">Borshchevskaya, A. (2017, October 4). </w:t>
      </w:r>
      <w:r>
        <w:rPr>
          <w:i/>
        </w:rPr>
        <w:t>King Salman's Moscow visit overshadowed by past tensions</w:t>
      </w:r>
      <w:r>
        <w:t>. The Washington Institute for Near East Policy. https://www.washingtoninstitute.org/policy-analysis/king-salmans-moscow-visit-overshadowed-past-tensions</w:t>
      </w:r>
    </w:p>
    <w:p>
      <w:pPr>
        <w:spacing w:line="480" w:lineRule="auto"/>
        <w:ind w:left="720" w:hanging="720"/>
      </w:pPr>
      <w:r>
        <w:t xml:space="preserve">Borshchevskaya, A. L. (2021). Russia's soft-power projection in the Middle East. </w:t>
      </w:r>
      <w:r>
        <w:rPr>
          <w:i/>
        </w:rPr>
        <w:t>Military Review, 101</w:t>
      </w:r>
      <w:r>
        <w:t>(6), 32–41. https://www.armyupress.army.mil/Journals/Military-Review/English-Edition-Archives/November-December-2021/Borschevskaya-Russia-Soft-Power/</w:t>
      </w:r>
    </w:p>
    <w:p>
      <w:pPr>
        <w:spacing w:line="480" w:lineRule="auto"/>
        <w:ind w:left="720" w:hanging="720"/>
      </w:pPr>
      <w:r>
        <w:t xml:space="preserve">Borshchevskaya, A. (2024, March 9). </w:t>
      </w:r>
      <w:r>
        <w:rPr>
          <w:i/>
        </w:rPr>
        <w:t>How the Middle East became an arena for Putin's power struggle with the US</w:t>
      </w:r>
      <w:r>
        <w:t>. The Washington Institute for Near East Policy. https://www.washingtoninstitute.org/policy-analysis/how-middle-east-became-arena-putins-power-struggle-us</w:t>
      </w:r>
    </w:p>
    <w:p>
      <w:pPr>
        <w:spacing w:line="480" w:lineRule="auto"/>
        <w:ind w:left="720" w:hanging="720"/>
      </w:pPr>
      <w:r>
        <w:t xml:space="preserve">Egyptian Presidency. (2023, July 27). </w:t>
      </w:r>
      <w:r>
        <w:rPr>
          <w:i/>
        </w:rPr>
        <w:t>President El-Sisi meets with Russian President in St</w:t>
      </w:r>
      <w:r>
        <w:t>. Petersburg. https://www.presidency.eg/en/قسم-الأخبار/أخبار-رئاسية/news-2772023/</w:t>
      </w:r>
    </w:p>
    <w:p>
      <w:pPr>
        <w:spacing w:line="480" w:lineRule="auto"/>
        <w:ind w:left="720" w:hanging="720"/>
      </w:pPr>
      <w:r>
        <w:t xml:space="preserve">Ghazy, Y. K. (2026). </w:t>
      </w:r>
      <w:r>
        <w:rPr>
          <w:i/>
        </w:rPr>
        <w:t>Evaluation of Russian strategy towards Middle East during 2000–2025 (Research Report No. 31)</w:t>
      </w:r>
      <w:r>
        <w:t>. Vienna International Institute for Middle East Studies. https://viimes.org/wp-content/uploads/2026/05/Russian-Strategy-in-the-Middle-East-2000-2025-1-by-iScanner.pdf</w:t>
      </w:r>
    </w:p>
    <w:p>
      <w:pPr>
        <w:spacing w:line="480" w:lineRule="auto"/>
        <w:ind w:left="720" w:hanging="720"/>
      </w:pPr>
      <w:r>
        <w:t xml:space="preserve">Kozhanov, N. (2018, May). What is Russia doing in the Middle East? </w:t>
      </w:r>
      <w:r>
        <w:rPr>
          <w:i/>
        </w:rPr>
        <w:t>Le Monde diplomatique</w:t>
      </w:r>
      <w:r>
        <w:t>. https://mondediplo.com/2018/05/02russia-syria</w:t>
      </w:r>
    </w:p>
    <w:p>
      <w:pPr>
        <w:spacing w:line="480" w:lineRule="auto"/>
        <w:ind w:left="720" w:hanging="720"/>
      </w:pPr>
      <w:r>
        <w:t xml:space="preserve">Kozhanov, N. (2025, December 11). </w:t>
      </w:r>
      <w:r>
        <w:rPr>
          <w:i/>
        </w:rPr>
        <w:t>Russia is weakened, but its influence in the Middle East should not be underestimated</w:t>
      </w:r>
      <w:r>
        <w:t>. Chatham House. https://www.chathamhouse.org/2025/12/russia-weakened-its-influence-middle-east-should-not-be-underestimated</w:t>
      </w:r>
    </w:p>
    <w:p>
      <w:pPr>
        <w:spacing w:line="480" w:lineRule="auto"/>
        <w:ind w:left="720" w:hanging="720"/>
      </w:pPr>
      <w:r>
        <w:t xml:space="preserve">Ministry of Foreign Affairs of the Russian Federation. (2023). </w:t>
      </w:r>
      <w:r>
        <w:rPr>
          <w:i/>
        </w:rPr>
        <w:t>The concept of the foreign policy of the Russian Federation</w:t>
      </w:r>
      <w:r>
        <w:t>. https://www.mid.ru/en/foreign_policy/fundamental_documents/1860586/</w:t>
      </w:r>
    </w:p>
    <w:p>
      <w:pPr>
        <w:spacing w:line="480" w:lineRule="auto"/>
        <w:ind w:left="720" w:hanging="720"/>
      </w:pPr>
      <w:r>
        <w:t xml:space="preserve">Mohamad, F. A. (2023, August 1). </w:t>
      </w:r>
      <w:r>
        <w:rPr>
          <w:i/>
        </w:rPr>
        <w:t>The Astana process six years on: Peace or deadlock in Syria? Carnegie Endowment for International Peace</w:t>
      </w:r>
      <w:r>
        <w:t>. https://carnegieendowment.org/sada/2023/08/the-astana-process-six-years-on-peace-or-deadlock-in-syria</w:t>
      </w:r>
    </w:p>
    <w:p>
      <w:pPr>
        <w:spacing w:line="480" w:lineRule="auto"/>
        <w:ind w:left="720" w:hanging="720"/>
      </w:pPr>
      <w:r>
        <w:t xml:space="preserve">Nye, J. S., Jr. (2013, April 29). What China and Russia don't get about soft power. </w:t>
      </w:r>
      <w:r>
        <w:rPr>
          <w:i/>
        </w:rPr>
        <w:t>Foreign Policy</w:t>
      </w:r>
      <w:r>
        <w:t>. https://foreignpolicy.com/2013/04/29/what-china-and-russia-dont-get-about-soft-power/</w:t>
      </w:r>
    </w:p>
    <w:p>
      <w:pPr>
        <w:spacing w:line="480" w:lineRule="auto"/>
        <w:ind w:left="720" w:hanging="720"/>
      </w:pPr>
      <w:r>
        <w:t xml:space="preserve">Reuters. (2005, April 26). Putin makes landmark visit to Egypt. </w:t>
      </w:r>
      <w:r>
        <w:rPr>
          <w:i/>
        </w:rPr>
        <w:t>Al Jazeera</w:t>
      </w:r>
      <w:r>
        <w:t>. https://www.aljazeera.com/news/2005/4/26/putin-makes-landmark-visit-to-egypt</w:t>
      </w:r>
    </w:p>
    <w:p>
      <w:pPr>
        <w:spacing w:line="480" w:lineRule="auto"/>
        <w:ind w:left="720" w:hanging="720"/>
      </w:pPr>
      <w:r>
        <w:t xml:space="preserve">Rumer, E. (2019). </w:t>
      </w:r>
      <w:r>
        <w:rPr>
          <w:i/>
        </w:rPr>
        <w:t>Russia in the Middle East: Jack of all trades, master of none</w:t>
      </w:r>
      <w:r>
        <w:t>. Carnegie Endowment for International Peace. https://carnegieendowment.org/research/2019/10/russia-in-the-middle-east-jack-of-all-trades-master-of-none</w:t>
      </w:r>
    </w:p>
    <w:p>
      <w:pPr>
        <w:spacing w:line="480" w:lineRule="auto"/>
        <w:ind w:left="720" w:hanging="720"/>
      </w:pPr>
      <w:r>
        <w:t xml:space="preserve">State Information Service. (2024, October 22). </w:t>
      </w:r>
      <w:r>
        <w:rPr>
          <w:i/>
        </w:rPr>
        <w:t>President El-Sisi meets Russian President Putin on the sidelines of BRICS Summit in Kazan</w:t>
      </w:r>
      <w:r>
        <w:t>. https://sis.gov.eg/en/media-center/news/president-el-sisi-meets-russian-president-putin-on-the-sidelines-of-brics-summit-in-kazan/</w:t>
      </w:r>
    </w:p>
    <w:p>
      <w:pPr>
        <w:spacing w:line="480" w:lineRule="auto"/>
        <w:ind w:left="720" w:hanging="720"/>
      </w:pPr>
      <w:r>
        <w:t xml:space="preserve">Sánchez Andrés, A. (2006, April 17). </w:t>
      </w:r>
      <w:r>
        <w:rPr>
          <w:i/>
        </w:rPr>
        <w:t>Las relaciones económico-políticas de Rusia con Siria y su impacto sobre Oriente Medio</w:t>
      </w:r>
      <w:r>
        <w:t>. Real Instituto Elcano. https://www.realinstitutoelcano.org/analisis/las-relaciones-economico-politicas-de-rusia-con-siria-y-su-impacto-sobre-oriente-medio/</w:t>
      </w:r>
    </w:p>
    <w:p>
      <w:pPr>
        <w:spacing w:line="480" w:lineRule="auto"/>
        <w:ind w:left="720" w:hanging="720"/>
      </w:pPr>
      <w:r>
        <w:t xml:space="preserve">Todman, W. (2018, January 17). </w:t>
      </w:r>
      <w:r>
        <w:rPr>
          <w:i/>
        </w:rPr>
        <w:t>Russian soft power in Syria</w:t>
      </w:r>
      <w:r>
        <w:t>. Centre for Syrian Studies, University of St Andrews. https://css.wp.st-andrews.ac.uk/2018/01/17/russian-soft-power-in-syria/</w:t>
      </w:r>
    </w:p>
    <w:p>
      <w:pPr>
        <w:spacing w:line="480" w:lineRule="auto"/>
        <w:ind w:left="720" w:hanging="720"/>
      </w:pPr>
      <w:r>
        <w:t xml:space="preserve">Trenin, D. (2016, April 5). </w:t>
      </w:r>
      <w:r>
        <w:rPr>
          <w:i/>
        </w:rPr>
        <w:t>Russia in the Middle East: Moscow’s objectives, priorities, and policy drivers</w:t>
      </w:r>
      <w:r>
        <w:t>. Carnegie Endowment for International Peace. https://carnegieendowment.org/posts/2016/04/russia-in-the-middle-east-moscows-objectives-priorities-and-policy-drivers</w:t>
      </w:r>
    </w:p>
    <w:p>
      <w:pPr>
        <w:spacing w:line="480" w:lineRule="auto"/>
        <w:ind w:left="720" w:hanging="720"/>
      </w:pPr>
      <w:r>
        <w:t xml:space="preserve">Tudoroiu, T. (2015). The reciprocal constitutive features of a Middle Eastern partnership: The Russian–Syrian bilateral relations. </w:t>
      </w:r>
      <w:r>
        <w:rPr>
          <w:i/>
        </w:rPr>
        <w:t>Journal of Eurasian Studies, 6</w:t>
      </w:r>
      <w:r>
        <w:t>(2), 143–152. https://doi.org/10.1016/j.euras.2015.03.006</w:t>
      </w:r>
    </w:p>
    <w:p>
      <w:pPr>
        <w:spacing w:line="480" w:lineRule="auto"/>
        <w:ind w:left="720" w:hanging="720"/>
      </w:pPr>
      <w:r>
        <w:t xml:space="preserve">United Press International. (1996, November 3). </w:t>
      </w:r>
      <w:r>
        <w:rPr>
          <w:i/>
        </w:rPr>
        <w:t>Primakov ends Middle East tour</w:t>
      </w:r>
      <w:r>
        <w:t>. https://www.upi.com/Archives/1996/11/03/Primakov-ends-Middle-East-tour/1958846997200/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