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rPr>
          <w:i w:val="0"/>
        </w:rP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rPr>
          <w:i w:val="0"/>
        </w:rP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rPr>
          <w:i w:val="0"/>
        </w:rPr>
        <w:t xml:space="preserve">El marco de Acemoglu y Robinson, desarrollado en </w:t>
      </w:r>
      <w:r>
        <w:rPr>
          <w:i/>
        </w:rPr>
        <w:t>Why Nations Fail</w:t>
      </w:r>
      <w:r>
        <w:rPr>
          <w:i w:val="0"/>
        </w:rP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de Kenia</w:t>
      </w:r>
    </w:p>
    <w:p>
      <w:r>
        <w:t>Este DAFO recoge el análisis previo sobre la economía de Kenia, sin aplicarlo al mercado del alquiler.</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Fortalezas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Debilidades</w:t>
            </w:r>
          </w:p>
        </w:tc>
      </w:tr>
      <w:tr>
        <w:tc>
          <w:tcPr>
            <w:tcW w:type="dxa" w:w="4658"/>
          </w:tcPr>
          <w:p>
            <w:r>
              <w:t>Diversidad de actividades económicas. La presencia de agricultura, comercio, finanzas, transporte y servicios de información ofrece distintas fuentes de producción e ingresos.</w:t>
            </w:r>
          </w:p>
        </w:tc>
        <w:tc>
          <w:tcPr>
            <w:tcW w:type="dxa" w:w="4658"/>
          </w:tcPr>
          <w:p>
            <w:r>
              <w:t>Elevada informalidad laboral. El crecimiento económico no se traduce necesariamente en empleo estable, protección social y mejoras de ingresos para toda la población.</w:t>
            </w:r>
          </w:p>
        </w:tc>
      </w:tr>
      <w:tr>
        <w:tc>
          <w:tcPr>
            <w:tcW w:type="dxa" w:w="4658"/>
          </w:tcPr>
          <w:p>
            <w:r>
              <w:t>Desarrollo de servicios e innovación financiera. La experiencia en pagos móviles facilita transacciones y ofrece herramientas para ampliar la participación en la economía.</w:t>
            </w:r>
          </w:p>
        </w:tc>
        <w:tc>
          <w:tcPr>
            <w:tcW w:type="dxa" w:w="4658"/>
          </w:tcPr>
          <w:p>
            <w:r>
              <w:t>Desigualdad de acceso a las oportunidades. Persisten diferencias en el acceso al empleo, la financiación, la tierra y los servicios básicos, que limitan la distribución de los beneficios del crecimiento.</w:t>
            </w:r>
          </w:p>
        </w:tc>
      </w:tr>
      <w:tr>
        <w:tc>
          <w:tcPr>
            <w:tcW w:type="dxa" w:w="4658"/>
          </w:tcPr>
          <w:p>
            <w:r>
              <w:t>Concentración de actividad empresarial en Nairobi. La capital reúne empresas y servicios que pueden facilitar la inversión y las relaciones comerciales.</w:t>
            </w:r>
          </w:p>
        </w:tc>
        <w:tc>
          <w:tcPr>
            <w:tcW w:type="dxa" w:w="4658"/>
          </w:tcPr>
          <w:p>
            <w:r>
              <w:t>Restricciones fiscales. El elevado endeudamiento reduce el margen del Estado para financiar servicios, infraestructura y medidas de apoyo durante las crisis.</w:t>
            </w:r>
          </w:p>
        </w:tc>
      </w:tr>
      <w:tr>
        <w:tc>
          <w:tcPr>
            <w:tcW w:type="dxa" w:w="4658"/>
          </w:tcPr>
          <w:p>
            <w:r>
              <w:t>Capacidad para atraer inversión extranjera. Las entradas de inversión documentadas muestran vínculos con capital internacional que pueden contribuir al desarrollo productivo.</w:t>
            </w:r>
          </w:p>
        </w:tc>
        <w:tc>
          <w:tcPr>
            <w:tcW w:type="dxa" w:w="4658"/>
          </w:tcPr>
          <w:p>
            <w:r>
              <w:t>Problemas de gobernanza y seguridad jurídica. La corrupción y la falta de previsibilidad de determinados procedimientos pueden dificultar la competencia y elevar los costes de inversión.</w:t>
            </w:r>
          </w:p>
        </w:tc>
      </w:tr>
    </w:tbl>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Oportunidades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Amenazas</w:t>
            </w:r>
          </w:p>
        </w:tc>
      </w:tr>
      <w:tr>
        <w:tc>
          <w:tcPr>
            <w:tcW w:type="dxa" w:w="4658"/>
          </w:tcPr>
          <w:p>
            <w:r>
              <w:t>Integración regional. La participación en la Comunidad de África Oriental ofrece posibilidades de ampliar mercados y fortalecer las relaciones comerciales y empresariales.</w:t>
            </w:r>
          </w:p>
        </w:tc>
        <w:tc>
          <w:tcPr>
            <w:tcW w:type="dxa" w:w="4658"/>
          </w:tcPr>
          <w:p>
            <w:r>
              <w:t>Fenómenos climáticos extremos. Las inundaciones y otros episodios pueden dañar infraestructura, afectar a la producción agrícola e interrumpir la actividad económica.</w:t>
            </w:r>
          </w:p>
        </w:tc>
      </w:tr>
      <w:tr>
        <w:tc>
          <w:tcPr>
            <w:tcW w:type="dxa" w:w="4658"/>
          </w:tcPr>
          <w:p>
            <w:r>
              <w:t>Expansión de servicios digitales. Su desarrollo puede mejorar la gestión empresarial, facilitar pagos y ampliar el acceso a servicios financieros.</w:t>
            </w:r>
          </w:p>
        </w:tc>
        <w:tc>
          <w:tcPr>
            <w:tcW w:type="dxa" w:w="4658"/>
          </w:tcPr>
          <w:p>
            <w:r>
              <w:t>Cambios desfavorables en la financiación internacional. Un encarecimiento o una menor disponibilidad de capital puede dificultar la inversión y aumentar las presiones sobre las finanzas públicas.</w:t>
            </w:r>
          </w:p>
        </w:tc>
      </w:tr>
      <w:tr>
        <w:tc>
          <w:tcPr>
            <w:tcW w:type="dxa" w:w="4658"/>
          </w:tcPr>
          <w:p>
            <w:r>
              <w:t>Inversión orientada a diversificar y modernizar la producción. La captación de capital puede apoyar infraestructura, tecnología y actividades de mayor valor añadido, si existen condiciones adecuadas de ejecución.</w:t>
            </w:r>
          </w:p>
        </w:tc>
        <w:tc>
          <w:tcPr>
            <w:tcW w:type="dxa" w:w="4658"/>
          </w:tcPr>
          <w:p>
            <w:r>
              <w:t>Crisis económicas y sanitarias externas. La pandemia mostró que estas perturbaciones pueden reducir la actividad y los ingresos, incluso después de etapas de crecimiento.</w:t>
            </w:r>
          </w:p>
        </w:tc>
      </w:tr>
      <w:tr>
        <w:tc>
          <w:tcPr>
            <w:tcW w:type="dxa" w:w="4658"/>
          </w:tcPr>
          <w:p>
            <w:r>
              <w:t>Aprovechamiento de una población joven. Una mayor incorporación al empleo productivo puede ampliar la capacidad económica del país, siempre que vaya acompañada de formación y oportunidades laborales.</w:t>
            </w:r>
          </w:p>
        </w:tc>
        <w:tc>
          <w:tcPr>
            <w:tcW w:type="dxa" w:w="4658"/>
          </w:tcPr>
          <w:p>
            <w:r>
              <w:t>Incertidumbre política y tensiones sociales. Los problemas institucionales y las dificultades económicas pueden afectar a la confianza y a la continuidad de la actividad empresarial.</w:t>
            </w:r>
          </w:p>
        </w:tc>
      </w:tr>
    </w:tbl>
    <w:p>
      <w:pPr>
        <w:spacing w:after="0"/>
      </w:pPr>
    </w:p>
    <w:p>
      <w:r>
        <w:t>El análisis muestra una economía con capacidades en servicios, innovación y atracción de inversión, pero con dificultades para convertir el crecimiento en bienestar generalizado. Su evolución dependerá de la creación de empleo productivo, la mejora institucional y la capacidad para afrontar las restricciones fiscales y los riesgos climáticos.</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sitúa esa promoción en Ndwaru Road, Dagoretti South, Nairobi, y señala necesidades locales de seguridad peatonal (Centric Africa Ltd., 2025). Es una referencia para estudiar competencia, accesos y servicios, aunque sus conclusiones corresponden a otra promoción y no se pueden trasladar a una parcela de Acorn.</w:t>
      </w:r>
    </w:p>
    <w:p>
      <w:r>
        <w:t>La capacidad de pago se evaluará sobre ingreso neto del hogar, alquiler, servicios, depósito y transporte. La estabilidad laboral no elimina las restricciones presupuestarias (Shah, Zamara y Centre for Affordable Housing Finance in Africa, 2026). Los datos del estudio no proporcionan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Se propone financiar el proyecto con inversión a largo plazo y contar con una empresa local que organice la construcción y gestione las viviendas. La propiedad se mantendría unificada, con responsabilidades claras sobre mantenimiento, cobros y atención a los inquilinos. Un inversor extranjero podría participar en la sociedad propietaria del edificio, de acuerdo con las normas legales y financieras aplicables. Esta participación se consideraría inversión extranjera directa si cumple los criterios correspondientes.</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