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principal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et al.,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(United Nations Conference on Trade and Development [UNCTAD], 2025a, 2025b). Se trata de flujos nacionales, no de recursos disponibles para vivienda.</w:t>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(2012), desarrollado en </w:t>
      </w:r>
      <w:r>
        <w:rPr>
          <w:i/>
        </w:rPr>
        <w:t>Why nations fail</w:t>
      </w:r>
      <w:r>
        <w:t>,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de Kenia</w:t>
      </w:r>
    </w:p>
    <w:p>
      <w:r>
        <w:t>Este DAFO recoge el análisis previo sobre la economía de Kenia, sin aplicarlo al mercado del alquiler.</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Plan de acción final: inversión en vivienda de alquiler en Nairobi</w:t>
      </w:r>
    </w:p>
    <w:p>
      <w:pPr>
        <w:pStyle w:val="Heading2"/>
      </w:pPr>
      <w:r>
        <w:t>6.1. Propuesta de atracción de inversión</w:t>
      </w:r>
    </w:p>
    <w:p>
      <w:r>
        <w:t>La apuesta de este trabajo es atraer inversión de largo plazo para construir y gestionar viviendas de alquiler en Nairobi, con Riruta como zona inicial de estudio. El producto combinaría estudios y viviendas de un dormitorio destinados a hogares pequeños de trabajadores con ingresos documentables, incluidos autónomos. La propuesta aprovecha tres fortalezas del DAFO: la concentración de actividad empresarial en Nairobi, la experiencia en servicios y pagos digitales y la capacidad de atraer capital extranjero. La oportunidad consiste en reunir esas capacidades en una oferta de alquiler con mantenimiento y atención al residente gestionados profesionalmente.</w:t>
      </w:r>
    </w:p>
    <w:p>
      <w:r>
        <w:t>Se elige este sector frente a la vivienda para venta, las oficinas y el alojamiento turístico porque permite vincular la inversión con una necesidad residencial de trabajadores sin exigirles una compra ni una hipoteca. No se sostiene que sea el sector más rentable de Kenia: se defiende que es el que mejor conecta el objetivo social del trabajo con las capacidades empresariales documentadas. El hueco que se propone investigar es el de hogares que necesitan vivienda estable, pero no quieren o no pueden comprar. Su tamaño y su capacidad de pago deberán comprobarse antes de construir.</w:t>
      </w:r>
    </w:p>
    <w:p>
      <w:r>
        <w:t>Riruta ofrece un punto de partida concreto porque cuenta con actuaciones residenciales documentadas. Un estudio ambiental sitúa el proyecto Keza–IHS en Ndwaru Road, Dagoretti South, y señala necesidades de seguridad peatonal (Centric Africa Ltd., 2025). Este antecedente justifica estudiar competencia, accesos y servicios en la zona; no demuestra que haya una parcela disponible ni que la demanda de otra promoción sea trasladable a la propuesta.</w:t>
      </w:r>
    </w:p>
    <w:p>
      <w:r>
        <w:t>El inversor prioritario sería un fondo de capital de largo plazo especializado en vivienda, asociado con un promotor y gestor local. La inversión se canalizaría mediante una participación en la sociedad propietaria de las viviendas, manteniendo la propiedad y la gestión unificadas. Si el capital procede del extranjero, su clasificación como inversión extranjera directa dependerá de las características de la participación. Se priorizará una estructura financiera compatible con ingresos en chelines, para limitar el riesgo de pagar deuda en divisas con alquileres en moneda local.</w:t>
      </w:r>
    </w:p>
    <w:p>
      <w:r>
        <w:t>El argumento de Kenia frente a una nueva implantación en Kampala o Kigali es la posibilidad de trabajar con empresas que ya cuentan con experiencia documentada en el mercado keniano. Esta base permite concentrar recursos en seleccionar la parcela, ajustar el producto y captar clientes, en lugar de crear toda la capacidad operativa desde cero. Es una ventaja de ejecución para esta propuesta; la información reunida no permite afirmar que Nairobi ofrezca mayor rentabilidad o menores costes que ambas ciudades.</w:t>
      </w:r>
    </w:p>
    <w:p>
      <w:r>
        <w:t>Las debilidades del DAFO determinan el diseño: la informalidad y las restricciones presupuestarias obligan a estudiar ingresos y gastos reales, y los problemas de gobernanza exigen revisar suelo y permisos. La existencia de ingresos recurrentes no elimina las dificultades de acceso a vivienda (Shah et al., 2026). Por ello, no se fija todavía una tarifa ni se presenta el producto como asequible para toda la población de bajos ingresos.</w:t>
      </w:r>
    </w:p>
    <w:p>
      <w:pPr>
        <w:pStyle w:val="Heading2"/>
      </w:pPr>
      <w:r>
        <w:t>6.2. Empresas objetivo y elección de Acorn Holdings como cabecera</w:t>
      </w:r>
    </w:p>
    <w:p>
      <w:r>
        <w:t>Se seleccionan tres empresas reales por sus capacidades documentadas en vivienda y gestión de capital. Son candidatas a explorar, no inversores que hayan comprometido recursos para este proyecto.</w:t>
      </w:r>
    </w:p>
    <w:p>
      <w:r/>
      <w:r>
        <w:rPr>
          <w:b/>
        </w:rPr>
        <w:t>Acorn Holdings.</w:t>
      </w:r>
      <w:r>
        <w:t xml:space="preserve"> Es la primera opción y la empresa de cabecera. Combina desarrollo, propiedad y gestión de alquiler, y su estrategia contempla ampliar su actividad desde estudiantes hacia jóvenes profesionales y familias (Acorn Holdings, s. f.). Además, se ha anunciado un vehículo de inversión inmobiliaria orientado al alquiler para jóvenes urbanos que han terminado sus estudios (Private Infrastructure Development Group, 2025). Esta orientación encaja con el segmento propuesto mejor que una empresa dedicada exclusivamente a vender viviendas. El anuncio no acredita una promoción de Acorn en Riruta.</w:t>
      </w:r>
    </w:p>
    <w:p>
      <w:r/>
      <w:r>
        <w:rPr>
          <w:b/>
        </w:rPr>
        <w:t>International Housing Solutions.</w:t>
      </w:r>
      <w:r>
        <w:t xml:space="preserve"> Es la segunda candidata por su experiencia en fondos de vivienda y su programa keniano. Su actividad documentada contempla alquiler, venta y alquiler con opción de compra (International Finance Corporation, 2024). Podría aportar capacidad de inversión y relaciones con promotores, pero habría que acordar expresamente que la operación se mantuviera destinada al alquiler de larga duración. Por esta diferencia de modalidades, se sitúa como alternativa a Acorn y no como cabecera preferente.</w:t>
      </w:r>
    </w:p>
    <w:p>
      <w:r/>
      <w:r>
        <w:rPr>
          <w:b/>
        </w:rPr>
        <w:t>Fusion Capital.</w:t>
      </w:r>
      <w:r>
        <w:t xml:space="preserve"> Es la tercera candidata por su experiencia regional en vivienda de alquiler. La información sobre sus inquilinos permite identificar mejoras residenciales junto con dificultades de asequibilidad (Robinson et al., 2025). Su interés para la propuesta reside en esa experiencia operativa y en la posibilidad de contrastar decisiones de calidad y precio. La muestra del estudio no permite estimar la demanda de toda Nairobi ni confirma su interés en financiar una nueva promoción.</w:t>
      </w:r>
    </w:p>
    <w:p>
      <w:r>
        <w:t>La elección de Acorn es una decisión del trabajo basada en información pública, no en una relación personal o profesional con la empresa. Se le asignaría la coordinación del diseño, la contratación, la captación de capital y la gestión posterior. Su valor añadido potencial sería mantener una responsabilidad clara durante todo el ciclo del inmueble, transferir experiencia de gestión y generar empleo y compras locales. La formación, las contrataciones y los proveedores deberán registrarse para comprobar esa aportación.</w:t>
      </w:r>
    </w:p>
    <w:p>
      <w:r>
        <w:t>El mercado objetivo de Acorn serían hogares pequeños que valoren estabilidad residencial, mantenimiento y acceso al empleo. La concentración de actividad en Nairobi y la estrategia empresarial documentada justifican estudiar ese mercado, pero no permiten calcular todavía el número de clientes ni su disposición a pagar. Durante la preparación se compararán alquileres y viviendas alternativas y se consultará a trabajadores, empleadores y organizaciones profesionales. El presupuesto del hogar incluirá alquiler, suministros, depósito y transporte. La experiencia de Acorn en alojamiento estudiantil será un punto de partida de gestión, no una prueba de aceptación por parejas o familias.</w:t>
      </w:r>
    </w:p>
    <w:p>
      <w:r>
        <w:t>La decisión es, por tanto, negociar primero con Acorn y utilizar International Housing Solutions y Fusion Capital como alternativas para contrastar condiciones. No se presupone un consorcio entre las tres. Si el coste total solo permite atender a hogares de mayores ingresos, se revisará el producto y su justificación social antes de aprobar la construcción.</w:t>
      </w:r>
    </w:p>
    <w:p>
      <w:pPr>
        <w:pStyle w:val="Heading2"/>
      </w:pPr>
      <w:r>
        <w:t>6.3. Plan de acción 360º: medidas, responsables y plazos</w:t>
      </w:r>
    </w:p>
    <w:p>
      <w:r>
        <w:t>El plan convierte las debilidades y amenazas del DAFO en actuaciones verificables. Los plazos se cuentan desde el inicio del estudio y son propuestas del trabajo, no compromisos asumidos por empresas o autoridades. Los meses 0–6 se dedicarían a demanda y parcelas; los meses 6–12, al diseño, las autorizaciones y la financiación. El calendario de obra se aprobaría después de completar esas comprobaciones.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sz w:val="16"/>
              </w:rPr>
              <w:t>Palanca</w:t>
            </w:r>
          </w:p>
        </w:tc>
        <w:tc>
          <w:tcPr>
            <w:tcW w:type="dxa" w:w="1863"/>
          </w:tcPr>
          <w:p>
            <w:r>
              <w:rPr>
                <w:b/>
                <w:sz w:val="16"/>
              </w:rPr>
              <w:t>Actuación y relación con el DAFO</w:t>
            </w:r>
          </w:p>
        </w:tc>
        <w:tc>
          <w:tcPr>
            <w:tcW w:type="dxa" w:w="1863"/>
          </w:tcPr>
          <w:p>
            <w:r>
              <w:rPr>
                <w:b/>
                <w:sz w:val="16"/>
              </w:rPr>
              <w:t>Responsable propuesto</w:t>
            </w:r>
          </w:p>
        </w:tc>
        <w:tc>
          <w:tcPr>
            <w:tcW w:type="dxa" w:w="1863"/>
          </w:tcPr>
          <w:p>
            <w:r>
              <w:rPr>
                <w:b/>
                <w:sz w:val="16"/>
              </w:rPr>
              <w:t>Plazo orientativo</w:t>
            </w:r>
          </w:p>
        </w:tc>
        <w:tc>
          <w:tcPr>
            <w:tcW w:type="dxa" w:w="1863"/>
          </w:tcPr>
          <w:p>
            <w:r>
              <w:rPr>
                <w:b/>
                <w:sz w:val="16"/>
              </w:rPr>
              <w:t>Evidencia de cumplimiento</w:t>
            </w:r>
          </w:p>
        </w:tc>
      </w:tr>
      <w:tr>
        <w:tc>
          <w:tcPr>
            <w:tcW w:type="dxa" w:w="1863"/>
          </w:tcPr>
          <w:p>
            <w:r>
              <w:rPr>
                <w:b w:val="0"/>
                <w:sz w:val="16"/>
              </w:rPr>
              <w:t>Formación y capital humano</w:t>
            </w:r>
          </w:p>
        </w:tc>
        <w:tc>
          <w:tcPr>
            <w:tcW w:type="dxa" w:w="1863"/>
          </w:tcPr>
          <w:p>
            <w:r>
              <w:rPr>
                <w:b w:val="0"/>
                <w:sz w:val="16"/>
              </w:rPr>
              <w:t>Identificar puestos de obra, mantenimiento y gestión; acordar formación y prácticas remuneradas con un centro técnico local. Responde a la debilidad del empleo formal.</w:t>
            </w:r>
          </w:p>
        </w:tc>
        <w:tc>
          <w:tcPr>
            <w:tcW w:type="dxa" w:w="1863"/>
          </w:tcPr>
          <w:p>
            <w:r>
              <w:rPr>
                <w:b w:val="0"/>
                <w:sz w:val="16"/>
              </w:rPr>
              <w:t>Acorn como promotor propuesto, contratista y centro técnico seleccionado</w:t>
            </w:r>
          </w:p>
        </w:tc>
        <w:tc>
          <w:tcPr>
            <w:tcW w:type="dxa" w:w="1863"/>
          </w:tcPr>
          <w:p>
            <w:r>
              <w:rPr>
                <w:b w:val="0"/>
                <w:sz w:val="16"/>
              </w:rPr>
              <w:t>Definir perfiles y convenio en meses 0–6; ejecutar durante obra y operación</w:t>
            </w:r>
          </w:p>
        </w:tc>
        <w:tc>
          <w:tcPr>
            <w:tcW w:type="dxa" w:w="1863"/>
          </w:tcPr>
          <w:p>
            <w:r>
              <w:rPr>
                <w:b w:val="0"/>
                <w:sz w:val="16"/>
              </w:rPr>
              <w:t>Convenio firmado; personas formadas y contratadas; seguimiento de continuidad laboral</w:t>
            </w:r>
          </w:p>
        </w:tc>
      </w:tr>
      <w:tr>
        <w:tc>
          <w:tcPr>
            <w:tcW w:type="dxa" w:w="1863"/>
          </w:tcPr>
          <w:p>
            <w:r>
              <w:rPr>
                <w:b w:val="0"/>
                <w:sz w:val="16"/>
              </w:rPr>
              <w:t>Marco legislativo y regulatorio</w:t>
            </w:r>
          </w:p>
        </w:tc>
        <w:tc>
          <w:tcPr>
            <w:tcW w:type="dxa" w:w="1863"/>
          </w:tcPr>
          <w:p>
            <w:r>
              <w:rPr>
                <w:b w:val="0"/>
                <w:sz w:val="16"/>
              </w:rPr>
              <w:t>Revisar título, duración del derecho sobre el suelo, uso permitido y estructura de inversión; elaborar contratos con cargos comprensibles y registrar permisos. Responde a los problemas de seguridad jurídica y gobernanza.</w:t>
            </w:r>
          </w:p>
        </w:tc>
        <w:tc>
          <w:tcPr>
            <w:tcW w:type="dxa" w:w="1863"/>
          </w:tcPr>
          <w:p>
            <w:r>
              <w:rPr>
                <w:b w:val="0"/>
                <w:sz w:val="16"/>
              </w:rPr>
              <w:t>Asesoría jurídica local, sociedad promotora y autoridades competentes del condado de Nairobi</w:t>
            </w:r>
          </w:p>
        </w:tc>
        <w:tc>
          <w:tcPr>
            <w:tcW w:type="dxa" w:w="1863"/>
          </w:tcPr>
          <w:p>
            <w:r>
              <w:rPr>
                <w:b w:val="0"/>
                <w:sz w:val="16"/>
              </w:rPr>
              <w:t>Revisión inicial en meses 0–6; autorizaciones antes de cada fase</w:t>
            </w:r>
          </w:p>
        </w:tc>
        <w:tc>
          <w:tcPr>
            <w:tcW w:type="dxa" w:w="1863"/>
          </w:tcPr>
          <w:p>
            <w:r>
              <w:rPr>
                <w:b w:val="0"/>
                <w:sz w:val="16"/>
              </w:rPr>
              <w:t>Informe jurídico; título y uso comprobados; resoluciones administrativas; contratos revisados</w:t>
            </w:r>
          </w:p>
        </w:tc>
      </w:tr>
      <w:tr>
        <w:tc>
          <w:tcPr>
            <w:tcW w:type="dxa" w:w="1863"/>
          </w:tcPr>
          <w:p>
            <w:r>
              <w:rPr>
                <w:b w:val="0"/>
                <w:sz w:val="16"/>
              </w:rPr>
              <w:t>Infraestructura y clima</w:t>
            </w:r>
          </w:p>
        </w:tc>
        <w:tc>
          <w:tcPr>
            <w:tcW w:type="dxa" w:w="1863"/>
          </w:tcPr>
          <w:p>
            <w:r>
              <w:rPr>
                <w:b w:val="0"/>
                <w:sz w:val="16"/>
              </w:rPr>
              <w:t>Comparar parcelas por agua, saneamiento, drenaje, electricidad, transporte y seguridad peatonal; descartar ubicaciones sin soluciones técnicas y financieras viables. Responde a los riesgos climáticos y a las carencias de servicios.</w:t>
            </w:r>
          </w:p>
        </w:tc>
        <w:tc>
          <w:tcPr>
            <w:tcW w:type="dxa" w:w="1863"/>
          </w:tcPr>
          <w:p>
            <w:r>
              <w:rPr>
                <w:b w:val="0"/>
                <w:sz w:val="16"/>
              </w:rPr>
              <w:t>Equipo técnico de Acorn, operadores de servicios y condado de Nairobi</w:t>
            </w:r>
          </w:p>
        </w:tc>
        <w:tc>
          <w:tcPr>
            <w:tcW w:type="dxa" w:w="1863"/>
          </w:tcPr>
          <w:p>
            <w:r>
              <w:rPr>
                <w:b w:val="0"/>
                <w:sz w:val="16"/>
              </w:rPr>
              <w:t>Evaluación en meses 0–6; soluciones y costes definidos antes de aprobar la obra</w:t>
            </w:r>
          </w:p>
        </w:tc>
        <w:tc>
          <w:tcPr>
            <w:tcW w:type="dxa" w:w="1863"/>
          </w:tcPr>
          <w:p>
            <w:r>
              <w:rPr>
                <w:b w:val="0"/>
                <w:sz w:val="16"/>
              </w:rPr>
              <w:t>Informe de parcela; evaluación de drenaje; costes y condiciones de conexión documentados</w:t>
            </w:r>
          </w:p>
        </w:tc>
      </w:tr>
      <w:tr>
        <w:tc>
          <w:tcPr>
            <w:tcW w:type="dxa" w:w="1863"/>
          </w:tcPr>
          <w:p>
            <w:r>
              <w:rPr>
                <w:b w:val="0"/>
                <w:sz w:val="16"/>
              </w:rPr>
              <w:t>Incentivos administrativos</w:t>
            </w:r>
          </w:p>
        </w:tc>
        <w:tc>
          <w:tcPr>
            <w:tcW w:type="dxa" w:w="1863"/>
          </w:tcPr>
          <w:p>
            <w:r>
              <w:rPr>
                <w:b w:val="0"/>
                <w:sz w:val="16"/>
              </w:rPr>
              <w:t>Solicitar coordinación de trámites e información clara de requisitos y tasas. Se elige esta vía frente a exenciones fiscales generales por las restricciones fiscales del país.</w:t>
            </w:r>
          </w:p>
        </w:tc>
        <w:tc>
          <w:tcPr>
            <w:tcW w:type="dxa" w:w="1863"/>
          </w:tcPr>
          <w:p>
            <w:r>
              <w:rPr>
                <w:b w:val="0"/>
                <w:sz w:val="16"/>
              </w:rPr>
              <w:t>Promotor, Invest Kenya y condado de Nairobi</w:t>
            </w:r>
          </w:p>
        </w:tc>
        <w:tc>
          <w:tcPr>
            <w:tcW w:type="dxa" w:w="1863"/>
          </w:tcPr>
          <w:p>
            <w:r>
              <w:rPr>
                <w:b w:val="0"/>
                <w:sz w:val="16"/>
              </w:rPr>
              <w:t>Iniciar en meses 0–3 y mantener durante las autorizaciones</w:t>
            </w:r>
          </w:p>
        </w:tc>
        <w:tc>
          <w:tcPr>
            <w:tcW w:type="dxa" w:w="1863"/>
          </w:tcPr>
          <w:p>
            <w:r>
              <w:rPr>
                <w:b w:val="0"/>
                <w:sz w:val="16"/>
              </w:rPr>
              <w:t>Registro de requisitos, solicitudes, incidencias y tiempos; coste de tasas identificado</w:t>
            </w:r>
          </w:p>
        </w:tc>
      </w:tr>
      <w:tr>
        <w:tc>
          <w:tcPr>
            <w:tcW w:type="dxa" w:w="1863"/>
          </w:tcPr>
          <w:p>
            <w:r>
              <w:rPr>
                <w:b w:val="0"/>
                <w:sz w:val="16"/>
              </w:rPr>
              <w:t>Financiación y capacidad de pago</w:t>
            </w:r>
          </w:p>
        </w:tc>
        <w:tc>
          <w:tcPr>
            <w:tcW w:type="dxa" w:w="1863"/>
          </w:tcPr>
          <w:p>
            <w:r>
              <w:rPr>
                <w:b w:val="0"/>
                <w:sz w:val="16"/>
              </w:rPr>
              <w:t>Contrastar alquileres previstos con presupuestos de hogares y costes completos; evaluar menor ocupación, aumento de costes y riesgo cambiario. Responde a informalidad, inflación y dificultades de financiación.</w:t>
            </w:r>
          </w:p>
        </w:tc>
        <w:tc>
          <w:tcPr>
            <w:tcW w:type="dxa" w:w="1863"/>
          </w:tcPr>
          <w:p>
            <w:r>
              <w:rPr>
                <w:b w:val="0"/>
                <w:sz w:val="16"/>
              </w:rPr>
              <w:t>Acorn, inversores potenciales y asesoría financiera</w:t>
            </w:r>
          </w:p>
        </w:tc>
        <w:tc>
          <w:tcPr>
            <w:tcW w:type="dxa" w:w="1863"/>
          </w:tcPr>
          <w:p>
            <w:r>
              <w:rPr>
                <w:b w:val="0"/>
                <w:sz w:val="16"/>
              </w:rPr>
              <w:t>Estudio de hogares en meses 0–6; modelo financiero y decisión en meses 6–12</w:t>
            </w:r>
          </w:p>
        </w:tc>
        <w:tc>
          <w:tcPr>
            <w:tcW w:type="dxa" w:w="1863"/>
          </w:tcPr>
          <w:p>
            <w:r>
              <w:rPr>
                <w:b w:val="0"/>
                <w:sz w:val="16"/>
              </w:rPr>
              <w:t>Estudio de demanda; modelo con escenarios; estructura de financiación y condiciones de aprobación documentadas</w:t>
            </w:r>
          </w:p>
        </w:tc>
      </w:tr>
      <w:tr>
        <w:tc>
          <w:tcPr>
            <w:tcW w:type="dxa" w:w="1863"/>
          </w:tcPr>
          <w:p>
            <w:r>
              <w:rPr>
                <w:b w:val="0"/>
                <w:sz w:val="16"/>
              </w:rPr>
              <w:t>Gestión e impacto</w:t>
            </w:r>
          </w:p>
        </w:tc>
        <w:tc>
          <w:tcPr>
            <w:tcW w:type="dxa" w:w="1863"/>
          </w:tcPr>
          <w:p>
            <w:r>
              <w:rPr>
                <w:b w:val="0"/>
                <w:sz w:val="16"/>
              </w:rPr>
              <w:t>Implantar mantenimiento, registro de cobros digitales y canal de reclamaciones; comprobar compras locales, coste de residencia y posibles desplazamientos. Aprovecha capacidades digitales y aborda desigualdad y calidad del servicio.</w:t>
            </w:r>
          </w:p>
        </w:tc>
        <w:tc>
          <w:tcPr>
            <w:tcW w:type="dxa" w:w="1863"/>
          </w:tcPr>
          <w:p>
            <w:r>
              <w:rPr>
                <w:b w:val="0"/>
                <w:sz w:val="16"/>
              </w:rPr>
              <w:t>Promotor-operador y proveedores</w:t>
            </w:r>
          </w:p>
        </w:tc>
        <w:tc>
          <w:tcPr>
            <w:tcW w:type="dxa" w:w="1863"/>
          </w:tcPr>
          <w:p>
            <w:r>
              <w:rPr>
                <w:b w:val="0"/>
                <w:sz w:val="16"/>
              </w:rPr>
              <w:t>Diseñar antes de abrir; revisar trimestralmente durante el primer año de operación</w:t>
            </w:r>
          </w:p>
        </w:tc>
        <w:tc>
          <w:tcPr>
            <w:tcW w:type="dxa" w:w="1863"/>
          </w:tcPr>
          <w:p>
            <w:r>
              <w:rPr>
                <w:b w:val="0"/>
                <w:sz w:val="16"/>
              </w:rPr>
              <w:t>Registros de mantenimiento y reclamaciones; ocupación y cobros; compras locales; seguimiento del esfuerzo de pago</w:t>
            </w:r>
          </w:p>
        </w:tc>
      </w:tr>
    </w:tbl>
    <w:p>
      <w:r>
        <w:t>La coordinación administrativa no sustituye los controles. La aprobación de planos, las inspecciones y el certificado de ocupación son actuaciones distintas y deben verificarse por separado (Nairobi City County Government, 2025). El plan propone mejorar la preparación y el seguimiento de los expedientes; no atribuye al promotor capacidad para cambiar las normas ni garantiza plazos de resolución.</w:t>
      </w:r>
    </w:p>
    <w:p>
      <w:pPr>
        <w:pStyle w:val="Heading2"/>
      </w:pPr>
      <w:r>
        <w:t>6.4. Decisión de inversión y seguimiento</w:t>
      </w:r>
    </w:p>
    <w:p>
      <w:r>
        <w:t>La primera decisión será seleccionar una parcela y un producto compatibles con los ingresos del público objetivo. La segunda será aprobar un diseño con servicios, costes y permisos comprobados. Solo después se negociará el cierre de la financiación y la contratación de la obra. En cada fase se podrá detener o reformular la operación si no cumple las condiciones mínimas.</w:t>
      </w:r>
    </w:p>
    <w:p>
      <w:r>
        <w:t>El modelo financiero incluirá suelo, construcción, financiación, mantenimiento, seguros, gestión y periodos sin ocupación. Se comprobará si el proyecto puede sostenerse con menor ocupación, retrasos y aumentos de costes. Cuando existan obligaciones en divisas, se documentará cómo se limita el desajuste con ingresos en chelines, sin presuponer que haya cobertura disponible.</w:t>
      </w:r>
    </w:p>
    <w:p>
      <w:r>
        <w:t>Antes de aprobar la construcción deberán quedar documentadas la seguridad jurídica de la parcela, la viabilidad de los servicios, una demanda compatible con el coste total de residencia y una financiación identificada. No se contará con exenciones fiscales o infraestructura pública sin respaldo confirmado. Las metas de ocupación, mantenimiento y esfuerzo de pago se fijarán con el estudio inicial y se incorporarán al seguimiento del operador.</w:t>
      </w:r>
    </w:p>
    <w:p>
      <w:r>
        <w:t>La apuesta final es impulsar alquiler de larga duración con Acorn como cabecera, Riruta como zona inicial de estudio y capital asociado a un operador local. El criterio para avanzar será que las capacidades empresariales se traduzcan en una operación sostenible y en mejores condiciones residenciales para los trabajadores. La rentabilidad, el servicio y el impacto sobre los residentes se evaluarán conjuntamente.</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spacing w:line="480" w:lineRule="auto" w:before="0" w:after="0"/>
        <w:ind w:left="720" w:hanging="720"/>
      </w:pPr>
      <w:r>
        <w:rPr>
          <w:i w:val="0"/>
          <w:sz w:val="22"/>
        </w:rPr>
        <w:t xml:space="preserve">Acemoglu, D., &amp; Robinson, J. A. (2012). </w:t>
      </w:r>
      <w:r>
        <w:rPr>
          <w:i/>
          <w:sz w:val="22"/>
        </w:rPr>
        <w:t>Why nations fail: The origins of power, prosperity, and poverty</w:t>
      </w:r>
      <w:r>
        <w:rPr>
          <w:i w:val="0"/>
          <w:sz w:val="22"/>
        </w:rPr>
        <w:t>. Crown. https://www.penguinrandomhouseretail.com/book/?isbn=9780307719218</w:t>
      </w:r>
    </w:p>
    <w:p>
      <w:pPr>
        <w:spacing w:line="480" w:lineRule="auto" w:before="0" w:after="0"/>
        <w:ind w:left="720" w:hanging="720"/>
      </w:pPr>
      <w:r>
        <w:rPr>
          <w:i w:val="0"/>
          <w:sz w:val="22"/>
        </w:rPr>
        <w:t xml:space="preserve">Acorn Holdings. (s. f.). </w:t>
      </w:r>
      <w:r>
        <w:rPr>
          <w:i/>
          <w:sz w:val="22"/>
        </w:rPr>
        <w:t>Overview</w:t>
      </w:r>
      <w:r>
        <w:rPr>
          <w:i w:val="0"/>
          <w:sz w:val="22"/>
        </w:rPr>
        <w:t>. Recuperado el 21 de octubre de 2026, de https://acornholdingsafrica.com/overview/</w:t>
      </w:r>
    </w:p>
    <w:p>
      <w:pPr>
        <w:spacing w:line="480" w:lineRule="auto" w:before="0" w:after="0"/>
        <w:ind w:left="720" w:hanging="720"/>
      </w:pPr>
      <w:r>
        <w:rPr>
          <w:i w:val="0"/>
          <w:sz w:val="22"/>
        </w:rPr>
        <w:t xml:space="preserve">Banco Mundial. (2020). </w:t>
      </w:r>
      <w:r>
        <w:rPr>
          <w:i/>
          <w:sz w:val="22"/>
        </w:rPr>
        <w:t>Kenya systematic country diagnostic</w:t>
      </w:r>
      <w:r>
        <w:rPr>
          <w:i w:val="0"/>
          <w:sz w:val="22"/>
        </w:rPr>
        <w:t>. https://documents1.worldbank.org/curated/en/531731600090213005/pdf/kenya-systematic-country-diagnostic.pdf</w:t>
      </w:r>
    </w:p>
    <w:p>
      <w:pPr>
        <w:spacing w:line="480" w:lineRule="auto" w:before="0" w:after="0"/>
        <w:ind w:left="720" w:hanging="720"/>
      </w:pPr>
      <w:r>
        <w:rPr>
          <w:i w:val="0"/>
          <w:sz w:val="22"/>
        </w:rPr>
        <w:t xml:space="preserve">Banco Mundial. (2024, 10 de diciembre). </w:t>
      </w:r>
      <w:r>
        <w:rPr>
          <w:i/>
          <w:sz w:val="22"/>
        </w:rPr>
        <w:t>Reforms are needed to stem a slow-down in Kenya’s economic growth</w:t>
      </w:r>
      <w:r>
        <w:rPr>
          <w:i w:val="0"/>
          <w:sz w:val="22"/>
        </w:rPr>
        <w:t>. https://www.worldbank.org/en/news/press-release/2024/12/10/reforms-are-needed-to-stem-a-slow-down-in-afe-kenya-s-economic-growth</w:t>
      </w:r>
    </w:p>
    <w:p>
      <w:pPr>
        <w:spacing w:line="480" w:lineRule="auto" w:before="0" w:after="0"/>
        <w:ind w:left="720" w:hanging="720"/>
      </w:pPr>
      <w:r>
        <w:rPr>
          <w:i w:val="0"/>
          <w:sz w:val="22"/>
        </w:rPr>
        <w:t xml:space="preserve">Banco Mundial. (2025). </w:t>
      </w:r>
      <w:r>
        <w:rPr>
          <w:i/>
          <w:sz w:val="22"/>
        </w:rPr>
        <w:t>Kenya economic update 32: From barriers to bridges—Procompetitive reforms for productivity and jobs in Kenya</w:t>
      </w:r>
      <w:r>
        <w:rPr>
          <w:i w:val="0"/>
          <w:sz w:val="22"/>
        </w:rPr>
        <w:t>. https://documents1.worldbank.org/curated/en/099112125062524216/pdf/P507067-4f692fc7-8081-4630-9dd2-d3768ce9defc.pdf</w:t>
      </w:r>
    </w:p>
    <w:p>
      <w:pPr>
        <w:spacing w:line="480" w:lineRule="auto" w:before="0" w:after="0"/>
        <w:ind w:left="720" w:hanging="720"/>
      </w:pPr>
      <w:r>
        <w:rPr>
          <w:i w:val="0"/>
          <w:sz w:val="22"/>
        </w:rPr>
        <w:t xml:space="preserve">Central Bank of Kenya. (s. f.). </w:t>
      </w:r>
      <w:r>
        <w:rPr>
          <w:i/>
          <w:sz w:val="22"/>
        </w:rPr>
        <w:t>Annual GDP</w:t>
      </w:r>
      <w:r>
        <w:rPr>
          <w:i w:val="0"/>
          <w:sz w:val="22"/>
        </w:rPr>
        <w:t>. Recuperado el 21 de octubre de 2026, de https://www.centralbank.go.ke/annual-gdp/</w:t>
      </w:r>
    </w:p>
    <w:p>
      <w:pPr>
        <w:spacing w:line="480" w:lineRule="auto" w:before="0" w:after="0"/>
        <w:ind w:left="720" w:hanging="720"/>
      </w:pPr>
      <w:r>
        <w:rPr>
          <w:i w:val="0"/>
          <w:sz w:val="22"/>
        </w:rPr>
        <w:t xml:space="preserve">Centric Africa Ltd. (2025). </w:t>
      </w:r>
      <w:r>
        <w:rPr>
          <w:i/>
          <w:sz w:val="22"/>
        </w:rPr>
        <w:t>Environmental and social impact assessment study report for the proposed Riruta Keza IHS housing developments</w:t>
      </w:r>
      <w:r>
        <w:rPr>
          <w:i w:val="0"/>
          <w:sz w:val="22"/>
        </w:rPr>
        <w:t>. National Environment Management Authority. https://nema.go.ke/wp-content/uploads/2025/12/IHS-Riruta-Housing_00288-min.pdf</w:t>
      </w:r>
    </w:p>
    <w:p>
      <w:pPr>
        <w:spacing w:line="480" w:lineRule="auto" w:before="0" w:after="0"/>
        <w:ind w:left="720" w:hanging="720"/>
      </w:pPr>
      <w:r>
        <w:rPr>
          <w:i w:val="0"/>
          <w:sz w:val="22"/>
        </w:rPr>
        <w:t>Constitution of Kenya, art. 65 (2010). Kenya Law Reform Commission. https://www.klrc.go.ke/index.php/constitution-of-kenya/116-chapter-five-land-and-environment/117-part-1-land/232-65-landholding-by-non-citizens</w:t>
      </w:r>
    </w:p>
    <w:p>
      <w:pPr>
        <w:spacing w:line="480" w:lineRule="auto" w:before="0" w:after="0"/>
        <w:ind w:left="720" w:hanging="720"/>
      </w:pPr>
      <w:r>
        <w:rPr>
          <w:i w:val="0"/>
          <w:sz w:val="22"/>
        </w:rPr>
        <w:t xml:space="preserve">East African Community. (s. f.). </w:t>
      </w:r>
      <w:r>
        <w:rPr>
          <w:i/>
          <w:sz w:val="22"/>
        </w:rPr>
        <w:t>EAC at a glance</w:t>
      </w:r>
      <w:r>
        <w:rPr>
          <w:i w:val="0"/>
          <w:sz w:val="22"/>
        </w:rPr>
        <w:t>. Recuperado el 21 de octubre de 2026, de https://www.eac.int/component/content/?Itemid=89</w:t>
      </w:r>
    </w:p>
    <w:p>
      <w:pPr>
        <w:spacing w:line="480" w:lineRule="auto" w:before="0" w:after="0"/>
        <w:ind w:left="720" w:hanging="720"/>
      </w:pPr>
      <w:r>
        <w:rPr>
          <w:i w:val="0"/>
          <w:sz w:val="22"/>
        </w:rPr>
        <w:t xml:space="preserve">Freedom House. (2026). </w:t>
      </w:r>
      <w:r>
        <w:rPr>
          <w:i/>
          <w:sz w:val="22"/>
        </w:rPr>
        <w:t>Freedom in the world 2026: Kenya</w:t>
      </w:r>
      <w:r>
        <w:rPr>
          <w:i w:val="0"/>
          <w:sz w:val="22"/>
        </w:rPr>
        <w:t>. https://freedomhouse.org/country/kenya/freedom-world/2026</w:t>
      </w:r>
    </w:p>
    <w:p>
      <w:pPr>
        <w:spacing w:line="480" w:lineRule="auto" w:before="0" w:after="0"/>
        <w:ind w:left="720" w:hanging="720"/>
      </w:pPr>
      <w:r>
        <w:rPr>
          <w:i w:val="0"/>
          <w:sz w:val="22"/>
        </w:rPr>
        <w:t xml:space="preserve">Gamba, P., &amp; Kibaara, B. (2007). </w:t>
      </w:r>
      <w:r>
        <w:rPr>
          <w:i/>
          <w:sz w:val="22"/>
        </w:rPr>
        <w:t>Structural implications of economic liberalization on agriculture and rural development: RuralStruc program, phase I</w:t>
      </w:r>
      <w:r>
        <w:rPr>
          <w:i w:val="0"/>
          <w:sz w:val="22"/>
        </w:rPr>
        <w:t>. Egerton University, Tegemeo Institute. https://documents1.worldbank.org/curated/en/886221468048846460/pdf/779820WP0KENYA00Box377319B00PUBLIC0.pdf</w:t>
      </w:r>
    </w:p>
    <w:p>
      <w:pPr>
        <w:spacing w:line="480" w:lineRule="auto" w:before="0" w:after="0"/>
        <w:ind w:left="720" w:hanging="720"/>
      </w:pPr>
      <w:r>
        <w:rPr>
          <w:i w:val="0"/>
          <w:sz w:val="22"/>
        </w:rPr>
        <w:t xml:space="preserve">International Finance Corporation. (2024). </w:t>
      </w:r>
      <w:r>
        <w:rPr>
          <w:i/>
          <w:sz w:val="22"/>
        </w:rPr>
        <w:t>IHS Kenya: Environmental and social review summary (Project 47136)</w:t>
      </w:r>
      <w:r>
        <w:rPr>
          <w:i w:val="0"/>
          <w:sz w:val="22"/>
        </w:rPr>
        <w:t>. https://disclosures.ifc.org/project-detail/ESRS/47136/co</w:t>
      </w:r>
    </w:p>
    <w:p>
      <w:pPr>
        <w:spacing w:line="480" w:lineRule="auto" w:before="0" w:after="0"/>
        <w:ind w:left="720" w:hanging="720"/>
      </w:pPr>
      <w:r>
        <w:rPr>
          <w:i w:val="0"/>
          <w:sz w:val="22"/>
        </w:rPr>
        <w:t xml:space="preserve">Kenya National Bureau of Statistics. (2025). </w:t>
      </w:r>
      <w:r>
        <w:rPr>
          <w:i/>
          <w:sz w:val="22"/>
        </w:rPr>
        <w:t>Gross county product 2025</w:t>
      </w:r>
      <w:r>
        <w:rPr>
          <w:i w:val="0"/>
          <w:sz w:val="22"/>
        </w:rPr>
        <w:t>. https://www.knbs.or.ke/wp-content/uploads/2025/12/2025-Gross-County-Product.pdf</w:t>
      </w:r>
    </w:p>
    <w:p>
      <w:pPr>
        <w:spacing w:line="480" w:lineRule="auto" w:before="0" w:after="0"/>
        <w:ind w:left="720" w:hanging="720"/>
      </w:pPr>
      <w:r>
        <w:rPr>
          <w:i w:val="0"/>
          <w:sz w:val="22"/>
        </w:rPr>
        <w:t xml:space="preserve">Kenya National Bureau of Statistics. (2026). </w:t>
      </w:r>
      <w:r>
        <w:rPr>
          <w:i/>
          <w:sz w:val="22"/>
        </w:rPr>
        <w:t>Economic survey 2026</w:t>
      </w:r>
      <w:r>
        <w:rPr>
          <w:i w:val="0"/>
          <w:sz w:val="22"/>
        </w:rPr>
        <w:t>. https://www.knbs.or.ke/reports/2026-economic-survey/</w:t>
      </w:r>
    </w:p>
    <w:p>
      <w:pPr>
        <w:spacing w:line="480" w:lineRule="auto" w:before="0" w:after="0"/>
        <w:ind w:left="720" w:hanging="720"/>
      </w:pPr>
      <w:r>
        <w:rPr>
          <w:i w:val="0"/>
          <w:sz w:val="22"/>
        </w:rPr>
      </w:r>
      <w:r>
        <w:rPr>
          <w:i/>
          <w:sz w:val="22"/>
        </w:rPr>
        <w:t>Kenya national human development report 2006: Human security and human development—A deliberate choice</w:t>
      </w:r>
      <w:r>
        <w:rPr>
          <w:i w:val="0"/>
          <w:sz w:val="22"/>
        </w:rPr>
        <w:t>. (2006). https://hdr.undp.org/system/files/documents/kenya2006en.pdf</w:t>
      </w:r>
    </w:p>
    <w:p>
      <w:pPr>
        <w:spacing w:line="480" w:lineRule="auto" w:before="0" w:after="0"/>
        <w:ind w:left="720" w:hanging="720"/>
      </w:pPr>
      <w:r>
        <w:rPr>
          <w:i w:val="0"/>
          <w:sz w:val="22"/>
        </w:rPr>
        <w:t xml:space="preserve">Nairobi City County Government. (2025, junio). </w:t>
      </w:r>
      <w:r>
        <w:rPr>
          <w:i/>
          <w:sz w:val="22"/>
        </w:rPr>
        <w:t>Customer service charter</w:t>
      </w:r>
      <w:r>
        <w:rPr>
          <w:i w:val="0"/>
          <w:sz w:val="22"/>
        </w:rPr>
        <w:t>. https://nairobi.go.ke/wp-content/uploads/NCCG_Service_Charter_2025.pdf</w:t>
      </w:r>
    </w:p>
    <w:p>
      <w:pPr>
        <w:spacing w:line="480" w:lineRule="auto" w:before="0" w:after="0"/>
        <w:ind w:left="720" w:hanging="720"/>
      </w:pPr>
      <w:r>
        <w:rPr>
          <w:i w:val="0"/>
          <w:sz w:val="22"/>
        </w:rPr>
        <w:t xml:space="preserve">National Council for Population and Development. (2025, 12 de marzo). </w:t>
      </w:r>
      <w:r>
        <w:rPr>
          <w:i/>
          <w:sz w:val="22"/>
        </w:rPr>
        <w:t>Press release</w:t>
      </w:r>
      <w:r>
        <w:rPr>
          <w:i w:val="0"/>
          <w:sz w:val="22"/>
        </w:rPr>
        <w:t>. https://ncpd.go.ke/2025/03/12/press-release/</w:t>
      </w:r>
    </w:p>
    <w:p>
      <w:pPr>
        <w:spacing w:line="480" w:lineRule="auto" w:before="0" w:after="0"/>
        <w:ind w:left="720" w:hanging="720"/>
      </w:pPr>
      <w:r>
        <w:rPr>
          <w:i w:val="0"/>
          <w:sz w:val="22"/>
        </w:rPr>
        <w:t xml:space="preserve">The National Treasury. (2025). </w:t>
      </w:r>
      <w:r>
        <w:rPr>
          <w:i/>
          <w:sz w:val="22"/>
        </w:rPr>
        <w:t>Budget review and outlook paper</w:t>
      </w:r>
      <w:r>
        <w:rPr>
          <w:i w:val="0"/>
          <w:sz w:val="22"/>
        </w:rPr>
        <w:t>. https://www.treasury.go.ke/wp-content/uploads/2025/10/2025-Budget-Review-and-Outlook-Paper.pdf</w:t>
      </w:r>
    </w:p>
    <w:p>
      <w:pPr>
        <w:spacing w:line="480" w:lineRule="auto" w:before="0" w:after="0"/>
        <w:ind w:left="720" w:hanging="720"/>
      </w:pPr>
      <w:r>
        <w:rPr>
          <w:i w:val="0"/>
          <w:sz w:val="22"/>
        </w:rPr>
        <w:t xml:space="preserve">Private Infrastructure Development Group. (2025, 17 de noviembre). </w:t>
      </w:r>
      <w:r>
        <w:rPr>
          <w:i/>
          <w:sz w:val="22"/>
        </w:rPr>
        <w:t>PIDG anchors Acorn’s new REIT to finance affordable housing for Kenya’s young urbanites</w:t>
      </w:r>
      <w:r>
        <w:rPr>
          <w:i w:val="0"/>
          <w:sz w:val="22"/>
        </w:rPr>
        <w:t>. https://pidg.org/pidg-anchors-acorns-new-reit-to-finance-affordable-housing-for-kenyas-young-urbanites/</w:t>
      </w:r>
    </w:p>
    <w:p>
      <w:pPr>
        <w:spacing w:line="480" w:lineRule="auto" w:before="0" w:after="0"/>
        <w:ind w:left="720" w:hanging="720"/>
      </w:pPr>
      <w:r>
        <w:rPr>
          <w:i w:val="0"/>
          <w:sz w:val="22"/>
        </w:rPr>
        <w:t xml:space="preserve">Robinson, H. J., Mwangi, B., &amp; Atkinson, B. (2025, 24 de febrero). </w:t>
      </w:r>
      <w:r>
        <w:rPr>
          <w:i/>
          <w:sz w:val="22"/>
        </w:rPr>
        <w:t>Understanding the tenants of Fusion Capital’s rental properties in Nairobi, Kenya</w:t>
      </w:r>
      <w:r>
        <w:rPr>
          <w:i w:val="0"/>
          <w:sz w:val="22"/>
        </w:rPr>
        <w:t>. Reall. https://reall.net/blog/understanding-the-tenants-of-fusion-capitals-rental-properties-in-nairobi-kenya/</w:t>
      </w:r>
    </w:p>
    <w:p>
      <w:pPr>
        <w:spacing w:line="480" w:lineRule="auto" w:before="0" w:after="0"/>
        <w:ind w:left="720" w:hanging="720"/>
      </w:pPr>
      <w:r>
        <w:rPr>
          <w:i w:val="0"/>
          <w:sz w:val="22"/>
        </w:rPr>
        <w:t xml:space="preserve">Shah, S., Zamara, &amp; Centre for Affordable Housing Finance in Africa. (2026, 19 de mayo). </w:t>
      </w:r>
      <w:r>
        <w:rPr>
          <w:i/>
          <w:sz w:val="22"/>
        </w:rPr>
        <w:t>Affordable housing access for Kenya’s formal workforce: What pension data reveals and what can work</w:t>
      </w:r>
      <w:r>
        <w:rPr>
          <w:i w:val="0"/>
          <w:sz w:val="22"/>
        </w:rPr>
        <w:t>. FSD Kenya. https://www.fsdkenya.org/blogs-publications/publications/affordable-housing-access-for-kenyas-formal-workforce-what-pension-data-reveals-and-what-can-work/</w:t>
      </w:r>
    </w:p>
    <w:p>
      <w:pPr>
        <w:spacing w:line="480" w:lineRule="auto" w:before="0" w:after="0"/>
        <w:ind w:left="720" w:hanging="720"/>
      </w:pPr>
      <w:r>
        <w:rPr>
          <w:i w:val="0"/>
          <w:sz w:val="22"/>
        </w:rPr>
        <w:t xml:space="preserve">United Nations Conference on Trade and Development. (2025a). </w:t>
      </w:r>
      <w:r>
        <w:rPr>
          <w:i/>
          <w:sz w:val="22"/>
        </w:rPr>
        <w:t>COMESA investment report 2025: Investment trends and policy insights</w:t>
      </w:r>
      <w:r>
        <w:rPr>
          <w:i w:val="0"/>
          <w:sz w:val="22"/>
        </w:rPr>
        <w:t>. https://unctad.org/system/files/official-document/diae2025d2_en.pdf</w:t>
      </w:r>
    </w:p>
    <w:p>
      <w:pPr>
        <w:spacing w:line="480" w:lineRule="auto" w:before="0" w:after="0"/>
        <w:ind w:left="720" w:hanging="720"/>
      </w:pPr>
      <w:r>
        <w:rPr>
          <w:i w:val="0"/>
          <w:sz w:val="22"/>
        </w:rPr>
        <w:t xml:space="preserve">United Nations Conference on Trade and Development. (2025b). </w:t>
      </w:r>
      <w:r>
        <w:rPr>
          <w:i/>
          <w:sz w:val="22"/>
        </w:rPr>
        <w:t>World investment report 2025: Country fact sheet—Kenya</w:t>
      </w:r>
      <w:r>
        <w:rPr>
          <w:i w:val="0"/>
          <w:sz w:val="22"/>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