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La ficha de IFC sobre IHS describe desarrollo y adquisición de vivienda en Nairobi y otras zonas urbanas, con criterios de eficiencia de recursos y colaboración con promotores. Este precedente muestra una vía para organizar capital destinado a vivienda. Una nueva operación necesitaría justificar su demanda, sus costes y la modalidad de tenencia (International Finance Corporation, 2024).</w:t>
      </w:r>
    </w:p>
    <w:p>
      <w:r>
        <w:t xml:space="preserve">El contexto de inversión debe distinguir flujos anuales y capital acumulado. La ficha keniana del </w:t>
      </w:r>
      <w:r>
        <w:rPr>
          <w:i/>
        </w:rPr>
        <w:t>World Investment Report 2025</w:t>
      </w:r>
      <w:r>
        <w:t xml:space="preserve"> de UNCTAD registra entradas de IED de 1.503 millones de dólares en 2024; su informe COMESA 2025 las redondea a 1.500 millones. Se trata de flujos nacionales, no de recursos disponibles para vivienda. Ambas publicaciones comparten la base de UNCTAD: su coincidencia permite contrastar la cifra, pero no constituye una medición independiente. El dato corresponde a 2024 según la edición 2025 (UNCTAD, 2025a, 2025b).</w:t>
      </w:r>
    </w:p>
    <w:p>
      <w:r>
        <w:t>La iniciativa de Acorn para ampliar el alquiler y el programa de IHS muestran precedentes de organización institucional de capital. Su desarrollo es una oportunidad condicionada por demanda y ejecución, no una promesa automática de financiación del proyecto (Private Infrastructure Development Group, 2025).</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t>Desde 1980, los programas de ajuste estructural impulsaron la liberalización de la economía keniana. Buscaban aumentar la participación privada y orientar la producción hacia mercados externos. Este proceso debe examinarse junto con las restricciones heredadas y las decisiones internas, evitando atribuir los resultados a una única causa (Gamba &amp; Kibaara, 2007).</w:t>
      </w:r>
    </w:p>
    <w:p>
      <w:r>
        <w:t>Los objetivos de eficiencia y estabilización deben contrastarse con la distribución de los costes. El informe de desarrollo humano de Kenia patrocinado por PNUD describe reformas de privatización, empleo público y gasto, además de barreras de acceso a servicios para grupos vulnerables. Esta perspectiva complementa el registro financiero de los organismos acreedores: una reforma puede alterar incentivos y, simultáneamente, reducir la capacidad de determinados hogares para cubrir necesidades. No basta con juzgarla por una sola variable macroeconómica (</w:t>
      </w:r>
      <w:r>
        <w:rPr>
          <w:i/>
        </w:rPr>
        <w:t>Kenya National Human Development Report 2006</w:t>
      </w:r>
      <w:r>
        <w:t>, 2006).</w:t>
      </w:r>
    </w:p>
    <w:p>
      <w:r>
        <w:t>Estas reformas ayudan a entender por qué la capacidad de pago no puede deducirse únicamente del salario. Si el hogar debe asumir más gastos de servicios esenciales, dispone de menos recursos para vivienda. El alquiler se evaluará dentro de ese presupuesto, relacionando la trayectoria económica con las condiciones de los clientes.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Esta edición revisa el 7,5 % de publicaciones anteriores. El repunte reflejó reapertura y recuperación sectorial, por lo que no debe extrapolarse como ritmo permanente. Además, que ambas instituciones reproduzcan la serie nacional no constituye una estimación independiente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No es una medición del año natural 2025 ni de octubre de 2026.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