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rPr>
          <w:i w:val="0"/>
        </w:rPr>
        <w:t xml:space="preserve">El marco de Acemoglu y Robinson, desarrollado en </w:t>
      </w:r>
      <w:r>
        <w:rPr>
          <w:i/>
        </w:rPr>
        <w:t>Why Nations Fail</w:t>
      </w:r>
      <w:r>
        <w:rPr>
          <w:i w:val="0"/>
        </w:rP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sitúa esa promoción en Ndwaru Road, Dagoretti South, Nairobi, y señala necesidades locales de seguridad peatonal (Centric Africa Ltd., 2025). Es una referencia para estudiar competencia, accesos y servicios, aunque sus conclusiones corresponden a otra promoción y no se pueden trasladar a una parcela de Acorn.</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