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Liberation Sans" w:hAnsi="Liberation Sans"/>
          <w:b/>
          <w:color w:val="1F4E78"/>
          <w:sz w:val="44"/>
        </w:rPr>
        <w:t>Silver Layer Cleaning Decisions</w:t>
      </w:r>
    </w:p>
    <w:p>
      <w:pPr>
        <w:spacing w:after="200"/>
      </w:pPr>
      <w:r>
        <w:rPr>
          <w:rFonts w:ascii="Liberation Sans" w:hAnsi="Liberation Sans"/>
          <w:b/>
          <w:color w:val="5B6573"/>
          <w:sz w:val="22"/>
        </w:rPr>
        <w:t>Olist Brazil E-Commerce Project  |  Bronze → Silver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1F4E78"/>
            </w:tcBorders>
          </w:tcPr>
          <w:p>
            <w:pPr>
              <w:keepLines/>
              <w:spacing w:after="60"/>
            </w:pPr>
            <w:r>
              <w:rPr>
                <w:rFonts w:ascii="Liberation Sans" w:hAnsi="Liberation Sans"/>
                <w:b/>
                <w:color w:val="1F4E78"/>
                <w:sz w:val="21"/>
              </w:rPr>
              <w:t>Purpose</w:t>
            </w:r>
          </w:p>
          <w:p>
            <w:pPr>
              <w:keepLines/>
              <w:spacing w:after="0"/>
            </w:pPr>
            <w:r>
              <w:rPr>
                <w:rFonts w:ascii="Liberation Sans" w:hAnsi="Liberation Sans"/>
                <w:color w:val="1F2933"/>
                <w:sz w:val="20"/>
              </w:rPr>
              <w:t>This document summarizes the cleaning, validation, standardization, and canonicalization decisions implemented in the attached Silver-layer load procedure. It focuses on the data-quality choices rather than reproducing SQL logic line by line.</w:t>
            </w:r>
          </w:p>
        </w:tc>
      </w:tr>
    </w:tbl>
    <w:p>
      <w:pPr>
        <w:spacing w:after="0"/>
      </w:pPr>
    </w:p>
    <w:p>
      <w:pPr>
        <w:pStyle w:val="Heading1"/>
      </w:pPr>
      <w:r>
        <w:t>1. Core Cleaning Strategy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Whitespace normalization: </w:t>
      </w:r>
      <w:r>
        <w:rPr>
          <w:rFonts w:ascii="Liberation Sans" w:hAnsi="Liberation Sans"/>
          <w:color w:val="1F2933"/>
          <w:sz w:val="20"/>
        </w:rPr>
        <w:t>Text values are trimmed before validation or insertion so leading/trailing spaces do not create false mismatches.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Structural key gating: </w:t>
      </w:r>
      <w:r>
        <w:rPr>
          <w:rFonts w:ascii="Liberation Sans" w:hAnsi="Liberation Sans"/>
          <w:color w:val="1F2933"/>
          <w:sz w:val="20"/>
        </w:rPr>
        <w:t>Rows with malformed required keys are excluded before loading. Core 32-character identifiers must meet the expected length; numeric sequence keys must be valid positive integers.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Preserve the row when possible: </w:t>
      </w:r>
      <w:r>
        <w:rPr>
          <w:rFonts w:ascii="Liberation Sans" w:hAnsi="Liberation Sans"/>
          <w:color w:val="1F2933"/>
          <w:sz w:val="20"/>
        </w:rPr>
        <w:t>Invalid non-key attributes are generally converted to NULL instead of causing the entire row to be rejected.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Explicit quality status: </w:t>
      </w:r>
      <w:r>
        <w:rPr>
          <w:rFonts w:ascii="Liberation Sans" w:hAnsi="Liberation Sans"/>
          <w:color w:val="1F2933"/>
          <w:sz w:val="20"/>
        </w:rPr>
        <w:t>Companion validation columns distinguish Valid, Invalid, and Source Null values, preserving the reason a cleaned value is missing.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Safe type conversion: </w:t>
      </w:r>
      <w:r>
        <w:rPr>
          <w:rFonts w:ascii="Liberation Sans" w:hAnsi="Liberation Sans"/>
          <w:color w:val="1F2933"/>
          <w:sz w:val="20"/>
        </w:rPr>
        <w:t>TRY_CAST is used for dates, timestamps, integers, and decimals so malformed source text becomes NULL rather than stopping the load.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Controlled domains: </w:t>
      </w:r>
      <w:r>
        <w:rPr>
          <w:rFonts w:ascii="Liberation Sans" w:hAnsi="Liberation Sans"/>
          <w:color w:val="1F2933"/>
          <w:sz w:val="20"/>
        </w:rPr>
        <w:t>Known categorical fields are accepted only when they match approved values; unexpected values are set to NULL and flagged Invalid.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Lineage retained: </w:t>
      </w:r>
      <w:r>
        <w:rPr>
          <w:rFonts w:ascii="Liberation Sans" w:hAnsi="Liberation Sans"/>
          <w:color w:val="1F2933"/>
          <w:sz w:val="20"/>
        </w:rPr>
        <w:t>Bronze metadata fields (_dwh_source_file, _dwh_source_system, _dwh_load_datetime, _dwh_batch_id) are carried into Silver.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2F75B5"/>
            </w:tcBorders>
          </w:tcPr>
          <w:p>
            <w:pPr>
              <w:keepLines/>
              <w:spacing w:after="60"/>
            </w:pPr>
            <w:r>
              <w:rPr>
                <w:rFonts w:ascii="Liberation Sans" w:hAnsi="Liberation Sans"/>
                <w:b/>
                <w:color w:val="1F4E78"/>
                <w:sz w:val="21"/>
              </w:rPr>
              <w:t>Silver-layer rule of thumb</w:t>
            </w:r>
          </w:p>
          <w:p>
            <w:pPr>
              <w:keepLines/>
              <w:spacing w:after="0"/>
            </w:pPr>
            <w:r>
              <w:rPr>
                <w:rFonts w:ascii="Liberation Sans" w:hAnsi="Liberation Sans"/>
                <w:color w:val="1F2933"/>
                <w:sz w:val="20"/>
              </w:rPr>
              <w:t>Reject structurally unusable rows at the key level; otherwise keep the record, standardize what can be trusted, and make data-quality problems visible through NULL values plus validation flags.</w:t>
            </w:r>
          </w:p>
        </w:tc>
      </w:tr>
    </w:tbl>
    <w:p>
      <w:pPr>
        <w:spacing w:after="0"/>
      </w:pPr>
    </w:p>
    <w:p>
      <w:pPr>
        <w:pStyle w:val="Heading1"/>
      </w:pPr>
      <w:r>
        <w:t>2. Table-by-Table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1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33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Row Gate</w:t>
            </w:r>
          </w:p>
        </w:tc>
        <w:tc>
          <w:tcPr>
            <w:tcW w:type="dxa" w:w="36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Main Cleaning Decisions</w:t>
            </w:r>
          </w:p>
        </w:tc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Quality Handling</w:t>
            </w:r>
          </w:p>
        </w:tc>
      </w:tr>
      <w:tr>
        <w:tc>
          <w:tcPr>
            <w:tcW w:type="dxa" w:w="161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Customers</w:t>
            </w:r>
          </w:p>
        </w:tc>
        <w:tc>
          <w:tcPr>
            <w:tcW w:type="dxa" w:w="233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customer_id = 32 chars</w:t>
            </w:r>
          </w:p>
        </w:tc>
        <w:tc>
          <w:tcPr>
            <w:tcW w:type="dxa" w:w="36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IDs, 5-digit ZIP, city corrections, state standardization</w:t>
            </w:r>
          </w:p>
        </w:tc>
        <w:tc>
          <w:tcPr>
            <w:tcW w:type="dxa" w:w="2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Source Null / Valid / Invalid</w:t>
            </w:r>
          </w:p>
        </w:tc>
      </w:tr>
      <w:tr>
        <w:tc>
          <w:tcPr>
            <w:tcW w:type="dxa" w:w="1613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Orders</w:t>
            </w:r>
          </w:p>
        </w:tc>
        <w:tc>
          <w:tcPr>
            <w:tcW w:type="dxa" w:w="2333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order_id = 32 chars</w:t>
            </w:r>
          </w:p>
        </w:tc>
        <w:tc>
          <w:tcPr>
            <w:tcW w:type="dxa" w:w="3672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Customer ID, status whitelist, 5 timestamps</w:t>
            </w:r>
          </w:p>
        </w:tc>
        <w:tc>
          <w:tcPr>
            <w:tcW w:type="dxa" w:w="2376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Invalid attributes → NULL + flag</w:t>
            </w:r>
          </w:p>
        </w:tc>
      </w:tr>
      <w:tr>
        <w:tc>
          <w:tcPr>
            <w:tcW w:type="dxa" w:w="161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Order Items</w:t>
            </w:r>
          </w:p>
        </w:tc>
        <w:tc>
          <w:tcPr>
            <w:tcW w:type="dxa" w:w="233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Valid order_id + positive item sequence</w:t>
            </w:r>
          </w:p>
        </w:tc>
        <w:tc>
          <w:tcPr>
            <w:tcW w:type="dxa" w:w="36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Product/seller IDs, item count, shipping date, price/freight</w:t>
            </w:r>
          </w:p>
        </w:tc>
        <w:tc>
          <w:tcPr>
            <w:tcW w:type="dxa" w:w="2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Typed values + validation flags</w:t>
            </w:r>
          </w:p>
        </w:tc>
      </w:tr>
      <w:tr>
        <w:tc>
          <w:tcPr>
            <w:tcW w:type="dxa" w:w="1613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Payments</w:t>
            </w:r>
          </w:p>
        </w:tc>
        <w:tc>
          <w:tcPr>
            <w:tcW w:type="dxa" w:w="2333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Valid order_id + positive payment sequence</w:t>
            </w:r>
          </w:p>
        </w:tc>
        <w:tc>
          <w:tcPr>
            <w:tcW w:type="dxa" w:w="3672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Payment type, installments, payment value</w:t>
            </w:r>
          </w:p>
        </w:tc>
        <w:tc>
          <w:tcPr>
            <w:tcW w:type="dxa" w:w="2376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Strict positivity for installments/value</w:t>
            </w:r>
          </w:p>
        </w:tc>
      </w:tr>
      <w:tr>
        <w:tc>
          <w:tcPr>
            <w:tcW w:type="dxa" w:w="161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Products</w:t>
            </w:r>
          </w:p>
        </w:tc>
        <w:tc>
          <w:tcPr>
            <w:tcW w:type="dxa" w:w="233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product_id = 32 chars</w:t>
            </w:r>
          </w:p>
        </w:tc>
        <w:tc>
          <w:tcPr>
            <w:tcW w:type="dxa" w:w="36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Category whitelist; content/size metrics as positive integers</w:t>
            </w:r>
          </w:p>
        </w:tc>
        <w:tc>
          <w:tcPr>
            <w:tcW w:type="dxa" w:w="2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Unknown/invalid values → NULL + flag</w:t>
            </w:r>
          </w:p>
        </w:tc>
      </w:tr>
      <w:tr>
        <w:tc>
          <w:tcPr>
            <w:tcW w:type="dxa" w:w="1613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Reviews</w:t>
            </w:r>
          </w:p>
        </w:tc>
        <w:tc>
          <w:tcPr>
            <w:tcW w:type="dxa" w:w="2333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review_id + order_id = 32 chars</w:t>
            </w:r>
          </w:p>
        </w:tc>
        <w:tc>
          <w:tcPr>
            <w:tcW w:type="dxa" w:w="3672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Score 1–5; creation date; answer timestamp</w:t>
            </w:r>
          </w:p>
        </w:tc>
        <w:tc>
          <w:tcPr>
            <w:tcW w:type="dxa" w:w="2376"/>
            <w:shd w:fill="F5F8FB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Safe casts + validation flags</w:t>
            </w:r>
          </w:p>
        </w:tc>
      </w:tr>
      <w:tr>
        <w:tc>
          <w:tcPr>
            <w:tcW w:type="dxa" w:w="161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/>
                <w:color w:val="1F2933"/>
                <w:sz w:val="17"/>
              </w:rPr>
              <w:t>Sellers</w:t>
            </w:r>
          </w:p>
        </w:tc>
        <w:tc>
          <w:tcPr>
            <w:tcW w:type="dxa" w:w="233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seller_id = 32 chars</w:t>
            </w:r>
          </w:p>
        </w:tc>
        <w:tc>
          <w:tcPr>
            <w:tcW w:type="dxa" w:w="36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ZIP clean-up; CEP→state; targeted city canonicalization; location check</w:t>
            </w:r>
          </w:p>
        </w:tc>
        <w:tc>
          <w:tcPr>
            <w:tcW w:type="dxa" w:w="2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keepLines/>
            </w:pPr>
            <w:r>
              <w:rPr>
                <w:rFonts w:ascii="Liberation Sans" w:hAnsi="Liberation Sans"/>
                <w:b w:val="0"/>
                <w:color w:val="1F2933"/>
                <w:sz w:val="17"/>
              </w:rPr>
              <w:t>ZIP validity + consistency classification</w:t>
            </w:r>
          </w:p>
        </w:tc>
      </w:tr>
    </w:tbl>
    <w:p>
      <w:pPr>
        <w:spacing w:after="0"/>
      </w:pPr>
    </w:p>
    <w:p>
      <w:pPr>
        <w:pStyle w:val="TableName"/>
      </w:pPr>
      <w:r>
        <w:t>Customers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Only rows with a 32-character customer_id are loaded.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customer_unique_id must be 32 characters; otherwise the cleaned value is NULL and the validation flag identifies the issue.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ZIP prefixes must be exactly five numeric characters.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Known city spelling/name issues are canonicalized (for example, punctuation, legacy spellings, and municipality-name corrections).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State codes are uppercased and accepted only when they match Brazil’s valid two-letter UF codes.</w:t>
      </w:r>
    </w:p>
    <w:p>
      <w:pPr>
        <w:pStyle w:val="TableName"/>
      </w:pPr>
      <w:r>
        <w:t>Orders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Only rows with a 32-character order_id are loaded; customer_id is independently validated as a 32-character identifier.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order_status is restricted to the known Olist lifecycle values: delivered, approved, created, processing, invoiced, unavailable, cancelled, and shipped.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Purchase, approval, carrier delivery, customer delivery, and estimated delivery fields are safely converted to DATETIME2(0). Blank values remain Source Null; malformed values become Invalid.</w:t>
      </w:r>
    </w:p>
    <w:p>
      <w:pPr>
        <w:pStyle w:val="TableName"/>
      </w:pPr>
      <w:r>
        <w:t>Order Items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Rows require a valid 32-character order_id and a numeric order_item_id of at least 1.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total_order_items is calculated per order after applying the structural row filters.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product_id and seller_id must be 32 characters to survive as cleaned values.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shipping_limit_date is safely converted to DATETIME2(0).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price and freight_value are converted to DECIMAL(10,2) and must be non-negative (&gt;= 0).</w:t>
      </w:r>
    </w:p>
    <w:p>
      <w:pPr>
        <w:pStyle w:val="TableName"/>
      </w:pPr>
      <w:r>
        <w:t>Payments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Rows require a 32-character order_id and a positive integer payment_sequential.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payment_type is limited to credit_card, debit_card, voucher, boleto, and not_defined.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payment_installments must be an integer of at least 1.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payment_value must be strictly greater than 0; zero or negative values are treated as invalid.</w:t>
      </w:r>
    </w:p>
    <w:p>
      <w:pPr>
        <w:pStyle w:val="TableName"/>
      </w:pPr>
      <w:r>
        <w:t>Products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Only rows with a 32-character product_id are loaded.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product_category_name is accepted only when it appears in the known Olist category list; unexpected categories become NULL and are flagged Invalid.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Name length, description length, photo quantity, weight, length, height, and width are converted to integers and must be at least 1.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Blank product attributes are preserved as Source Null rather than being treated as malformed data.</w:t>
      </w:r>
    </w:p>
    <w:p>
      <w:pPr>
        <w:pStyle w:val="TableName"/>
      </w:pPr>
      <w:r>
        <w:t>Reviews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Rows require both review_id and order_id to be 32 characters.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review_score is converted to an integer and restricted to the valid 1–5 rating scale.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review_creation_date is converted to DATE; review_answer_timestamp is converted to DATETIME2(0).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color w:val="1F2933"/>
          <w:sz w:val="20"/>
        </w:rPr>
        <w:t>Blank date/score values remain Source Null; nonblank values that cannot be converted are flagged Invalid.</w:t>
      </w:r>
    </w:p>
    <w:p>
      <w:pPr>
        <w:pStyle w:val="Heading1"/>
      </w:pPr>
      <w:r>
        <w:t>3. Seller Location Cleaning</w:t>
      </w:r>
    </w:p>
    <w:p>
      <w:r>
        <w:rPr>
          <w:rFonts w:ascii="Liberation Sans" w:hAnsi="Liberation Sans"/>
          <w:color w:val="1F2933"/>
          <w:sz w:val="20"/>
        </w:rPr>
        <w:t xml:space="preserve">Seller geography receives additional treatment because raw city/state text contains spelling errors, formatting noise, ambiguous locality labels, and outright incorrect values. </w:t>
      </w:r>
      <w:r>
        <w:rPr>
          <w:rFonts w:ascii="Liberation Sans" w:hAnsi="Liberation Sans"/>
          <w:b/>
          <w:color w:val="1F2933"/>
          <w:sz w:val="20"/>
        </w:rPr>
        <w:t>CEP (Brazilian postal code) is used as the primary geographic reference.</w:t>
      </w:r>
    </w:p>
    <w:p>
      <w:pPr>
        <w:pStyle w:val="ListNumber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Base clean — </w:t>
      </w:r>
      <w:r>
        <w:rPr>
          <w:rFonts w:ascii="Liberation Sans" w:hAnsi="Liberation Sans"/>
          <w:color w:val="1F2933"/>
          <w:sz w:val="20"/>
        </w:rPr>
        <w:t>Trim seller fields, require a 32-character seller_id, and retain the ZIP only when it is exactly five numeric characters.</w:t>
      </w:r>
    </w:p>
    <w:p>
      <w:pPr>
        <w:pStyle w:val="ListNumber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Expected state — </w:t>
      </w:r>
      <w:r>
        <w:rPr>
          <w:rFonts w:ascii="Liberation Sans" w:hAnsi="Liberation Sans"/>
          <w:color w:val="1F2933"/>
          <w:sz w:val="20"/>
        </w:rPr>
        <w:t>Map the cleaned CEP prefix to the expected Brazilian state using known postal-code ranges.</w:t>
      </w:r>
    </w:p>
    <w:p>
      <w:pPr>
        <w:pStyle w:val="ListNumber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Expected city — </w:t>
      </w:r>
      <w:r>
        <w:rPr>
          <w:rFonts w:ascii="Liberation Sans" w:hAnsi="Liberation Sans"/>
          <w:color w:val="1F2933"/>
          <w:sz w:val="20"/>
        </w:rPr>
        <w:t>Apply state-aware and, where necessary, ZIP-specific corrections. This resolves misspellings, embedded state text, malformed locality text, and cases where the city value is not actually a city.</w:t>
      </w:r>
    </w:p>
    <w:p>
      <w:pPr>
        <w:pStyle w:val="ListNumber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Final consistency check — </w:t>
      </w:r>
      <w:r>
        <w:rPr>
          <w:rFonts w:ascii="Liberation Sans" w:hAnsi="Liberation Sans"/>
          <w:color w:val="1F2933"/>
          <w:sz w:val="20"/>
        </w:rPr>
        <w:t>Compare the original trimmed seller city/state with the corrected city and CEP-derived state. A seller is marked consistent only when both original location fields already match the cleaned expectations.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2F75B5"/>
            </w:tcBorders>
          </w:tcPr>
          <w:p>
            <w:pPr>
              <w:keepLines/>
              <w:spacing w:after="60"/>
            </w:pPr>
            <w:r>
              <w:rPr>
                <w:rFonts w:ascii="Liberation Sans" w:hAnsi="Liberation Sans"/>
                <w:b/>
                <w:color w:val="1F4E78"/>
                <w:sz w:val="21"/>
              </w:rPr>
              <w:t>Why two kinds of city corrections?</w:t>
            </w:r>
          </w:p>
          <w:p>
            <w:pPr>
              <w:keepLines/>
              <w:spacing w:after="0"/>
            </w:pPr>
            <w:r>
              <w:rPr>
                <w:rFonts w:ascii="Liberation Sans" w:hAnsi="Liberation Sans"/>
                <w:color w:val="1F2933"/>
                <w:sz w:val="20"/>
              </w:rPr>
              <w:t>Straightforward spelling/format fixes are applied when the intended city is clear from the state context. ZIP-specific corrections are reserved for ambiguous or incorrect source values where city text alone is not reliable enough to determine the municipality.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color w:val="1F2933"/>
          <w:sz w:val="20"/>
        </w:rPr>
        <w:t xml:space="preserve">Final seller fields emphasize cleaned geography: </w:t>
      </w:r>
      <w:r>
        <w:rPr>
          <w:rFonts w:ascii="Liberation Mono" w:hAnsi="Liberation Mono"/>
          <w:b/>
          <w:color w:val="1F4E78"/>
          <w:sz w:val="18"/>
        </w:rPr>
        <w:t>seller_zip_code_cleaned</w:t>
      </w:r>
      <w:r>
        <w:rPr>
          <w:rFonts w:ascii="Liberation Sans" w:hAnsi="Liberation Sans"/>
          <w:color w:val="1F2933"/>
          <w:sz w:val="20"/>
        </w:rPr>
        <w:t xml:space="preserve">, </w:t>
      </w:r>
      <w:r>
        <w:rPr>
          <w:rFonts w:ascii="Liberation Mono" w:hAnsi="Liberation Mono"/>
          <w:b/>
          <w:color w:val="1F4E78"/>
          <w:sz w:val="18"/>
        </w:rPr>
        <w:t>expected_state_seller_city</w:t>
      </w:r>
      <w:r>
        <w:rPr>
          <w:rFonts w:ascii="Liberation Sans" w:hAnsi="Liberation Sans"/>
          <w:color w:val="1F2933"/>
          <w:sz w:val="20"/>
        </w:rPr>
        <w:t xml:space="preserve">, </w:t>
      </w:r>
      <w:r>
        <w:rPr>
          <w:rFonts w:ascii="Liberation Mono" w:hAnsi="Liberation Mono"/>
          <w:b/>
          <w:color w:val="1F4E78"/>
          <w:sz w:val="18"/>
        </w:rPr>
        <w:t>zip_expected_state</w:t>
      </w:r>
      <w:r>
        <w:rPr>
          <w:rFonts w:ascii="Liberation Sans" w:hAnsi="Liberation Sans"/>
          <w:color w:val="1F2933"/>
          <w:sz w:val="20"/>
        </w:rPr>
        <w:t xml:space="preserve">, </w:t>
      </w:r>
      <w:r>
        <w:rPr>
          <w:rFonts w:ascii="Liberation Mono" w:hAnsi="Liberation Mono"/>
          <w:b/>
          <w:color w:val="1F4E78"/>
          <w:sz w:val="18"/>
        </w:rPr>
        <w:t>seller_location_consistency</w:t>
      </w:r>
      <w:r>
        <w:rPr>
          <w:rFonts w:ascii="Liberation Sans" w:hAnsi="Liberation Sans"/>
          <w:color w:val="1F2933"/>
          <w:sz w:val="20"/>
        </w:rPr>
        <w:t>.</w:t>
      </w:r>
    </w:p>
    <w:p>
      <w:pPr>
        <w:pStyle w:val="Heading1"/>
      </w:pPr>
      <w:r>
        <w:t>4. Load and Data-Quality Safeguards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Full refresh: </w:t>
      </w:r>
      <w:r>
        <w:rPr>
          <w:rFonts w:ascii="Liberation Sans" w:hAnsi="Liberation Sans"/>
          <w:color w:val="1F2933"/>
          <w:sz w:val="20"/>
        </w:rPr>
        <w:t>Each Silver table is truncated before its Bronze-to-Silver load, making the procedure deterministic for the current source snapshot.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Step-level traceability: </w:t>
      </w:r>
      <w:r>
        <w:rPr>
          <w:rFonts w:ascii="Liberation Sans" w:hAnsi="Liberation Sans"/>
          <w:color w:val="1F2933"/>
          <w:sz w:val="20"/>
        </w:rPr>
        <w:t>The procedure records the current table/substep and reports individual table duration plus total batch duration.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Error transparency: </w:t>
      </w:r>
      <w:r>
        <w:rPr>
          <w:rFonts w:ascii="Liberation Sans" w:hAnsi="Liberation Sans"/>
          <w:color w:val="1F2933"/>
          <w:sz w:val="20"/>
        </w:rPr>
        <w:t>TRY/CATCH returns the failed step, SQL Server error details, and likely causes for common schema, conversion, constraint, truncation, locking, and expression-limit errors.</w:t>
      </w:r>
    </w:p>
    <w:p>
      <w:pPr>
        <w:pStyle w:val="ListBullet"/>
        <w:spacing w:after="60"/>
      </w:pPr>
      <w:r>
        <w:rPr>
          <w:rFonts w:ascii="Liberation Sans" w:hAnsi="Liberation Sans"/>
          <w:b/>
          <w:color w:val="1F2933"/>
          <w:sz w:val="20"/>
        </w:rPr>
        <w:t xml:space="preserve">Seller query decomposition: </w:t>
      </w:r>
      <w:r>
        <w:rPr>
          <w:rFonts w:ascii="Liberation Sans" w:hAnsi="Liberation Sans"/>
          <w:color w:val="1F2933"/>
          <w:sz w:val="20"/>
        </w:rPr>
        <w:t>Seller cleaning is split across temporary tables (#seller_clean, #seller_expected_state, #seller_expected_city) to reduce expression complexity and avoid SQL Server’s expression-services limit.</w:t>
      </w:r>
    </w:p>
    <w:p>
      <w:pPr>
        <w:pStyle w:val="Heading1"/>
      </w:pPr>
      <w:r>
        <w:t>5. Resulting Silver-Layer Data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1F4E78"/>
            </w:tcBorders>
          </w:tcPr>
          <w:p>
            <w:pPr>
              <w:keepLines/>
              <w:spacing w:after="60"/>
            </w:pPr>
            <w:r>
              <w:rPr>
                <w:rFonts w:ascii="Liberation Sans" w:hAnsi="Liberation Sans"/>
                <w:b/>
                <w:color w:val="1F4E78"/>
                <w:sz w:val="21"/>
              </w:rPr>
              <w:t>Outcome</w:t>
            </w:r>
          </w:p>
          <w:p>
            <w:pPr>
              <w:keepLines/>
              <w:spacing w:after="0"/>
            </w:pPr>
            <w:r>
              <w:rPr>
                <w:rFonts w:ascii="Liberation Sans" w:hAnsi="Liberation Sans"/>
                <w:color w:val="1F2933"/>
                <w:sz w:val="20"/>
              </w:rPr>
              <w:t>The Silver layer contains structurally usable rows with standardized text, typed dates/numerics, controlled categorical values, explicit data-quality flags, cleaned geographic fields where appropriate, and preserved lineage metadata. Invalid attribute values are visible rather than silently disguised, while malformed keys are prevented from entering the analytical layer.</w:t>
            </w:r>
          </w:p>
        </w:tc>
      </w:tr>
    </w:tbl>
    <w:p>
      <w:pPr>
        <w:spacing w:after="0"/>
      </w:pPr>
    </w:p>
    <w:p>
      <w:pPr>
        <w:spacing w:before="120" w:after="0"/>
      </w:pPr>
      <w:r>
        <w:rPr>
          <w:rFonts w:ascii="Liberation Sans" w:hAnsi="Liberation Sans"/>
          <w:i/>
          <w:color w:val="5B6573"/>
          <w:sz w:val="17"/>
        </w:rPr>
        <w:t>Source reviewed: proc_load_silver(1).sql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B6573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B6573"/>
        <w:sz w:val="16"/>
      </w:rPr>
      <w:t>OLIST BRAZIL E-COMMERCE  •  SILVER LAYER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ans" w:hAnsi="Liberation San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ame">
    <w:name w:val="Table Name"/>
    <w:pPr>
      <w:keepNext/>
      <w:spacing w:before="160" w:after="40"/>
    </w:pPr>
    <w:rPr>
      <w:rFonts w:ascii="Liberation Sans" w:hAnsi="Liberation Sans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Silver Layer Cleaning Decisions Summary</dc:title>
  <dc:subject>Concise summary of Bronze-to-Silver cleaning and validation decisions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