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PREMENOPAUSAL OSTEOPOROSIS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cautam la f. Cu fracturi (fx) si la cele cu facori de risc de pierderede BMD.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Exista relatie intre BMD si riscul de fx dar nu e similar cu in postMP. Se foloseste scorul Z.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Z &lt;-2 DS -- BMD scazut pt varsta si sex, nu OP sau osteopenie ( nu se foloseste de loc acest termen). OP dg </w:t>
      </w:r>
      <w:r>
        <w:rPr>
          <w:rStyle w:val="Character1"/>
        </w:rPr>
        <w:t xml:space="preserve">daca are fx sau cauze sec de pierdere de BMD. ! Pot dg OP daca are una sau mai multe fx de fragilitate, chiar </w:t>
      </w:r>
      <w:r>
        <w:rPr>
          <w:rStyle w:val="Character1"/>
        </w:rPr>
        <w:t xml:space="preserve">daca Z&gt;-2 DS.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Fx in preMP cresc riscul de fx in postMP cu aprox 35%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- aparent f. Cu BMD scazut au tulburari de microarhitectura osoasw chiar daca nu au inca fx. Dar nu </w:t>
      </w:r>
      <w:r>
        <w:rPr>
          <w:rStyle w:val="Character1"/>
        </w:rPr>
        <w:t xml:space="preserve">tratez pe baza doar a BMD, pt ca au risc mai mic de fx (nu cad), nu se stie evolutia pe termen lung si care este </w:t>
      </w:r>
      <w:r>
        <w:rPr>
          <w:rStyle w:val="Character1"/>
        </w:rPr>
        <w:t xml:space="preserve">exact relatia dintre BMD si rscul de fx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Atentie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* sub 30 ani, poate nu au castigat inca tot BMD potential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*trb diferfentiat intre BMD scazut stationar (lipsa de atingere a unui BMD optim - factori genetici, alimentari, </w:t>
      </w:r>
      <w:r>
        <w:rPr>
          <w:rStyle w:val="Character1"/>
        </w:rPr>
        <w:t xml:space="preserve">boli diverse) si pierdere de BMD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* in timpul sarcinii si alaptarii se pierd 3-10% din BMD in 3-6 luni, cu recuperare in 6-12 luni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 OBIECTIV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AHC, fx, litiaza renala,  Istoric de menstre, alimentatie si exercitii, tulb gastro-intestinale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Ex fizic - cushing, TTX, osteogeneza imperfecta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evaluarea riscului de cadere - ochi, echilibru, forta musculara. Testul " timed up and go"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Analize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Markeri de os (! Pot fi crescuti dupa o fx sau la adultul tanar care inca acumuleaza masa osoasa).. Daca sunt </w:t>
      </w:r>
      <w:r>
        <w:rPr>
          <w:rStyle w:val="Character1"/>
        </w:rPr>
        <w:t xml:space="preserve">crescuti pot arata o patologie osoasa in desfasurare si un risc de fx mai mare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Biopsie de creasta iliaca - pt osteomalacie, osteodistrofie renala, cauze rare (Gaucher, mastocitoza)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Orice determina tulburari de achizitie de masa osoasa in adolescenta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Tulburari de t conjunctiv: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2.a. Osteogeneza imperfecta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2.b. Marfan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2.c. Ehlers Danlos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2.d pseudoxantoma elasticum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Deficit de estrogeni: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3.a. amonoree hipotalamica sau hipofizara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3.b. Medicatie antiestrogenica: GnRH agonisti, medroxiPg acetat depou, chemoterapie ce det IOP, inhibit </w:t>
      </w:r>
      <w:r>
        <w:rPr>
          <w:rStyle w:val="Character1"/>
        </w:rPr>
        <w:t xml:space="preserve">de aromataza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3.c. Anorexie nervosa + malnutritie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Endocrinopatii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TTX --&gt; creste activitatea osteoclastelor prin rec alpha. Crestere risc fx de 4-5* si la sold si la vertbre.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Cushing, exo/endogen, prin inducerea de apoptoza pe osteocite si osteoblaste; mai ales pe osul trabecular= </w:t>
      </w:r>
      <w:r>
        <w:rPr>
          <w:rStyle w:val="Character1"/>
        </w:rPr>
        <w:t xml:space="preserve">coloana. In plus risc crescut de fx prin risc de cadere datorita atrof musculare, hipogonadism. Chiar si doze mici </w:t>
      </w:r>
      <w:r>
        <w:rPr>
          <w:rStyle w:val="Character1"/>
        </w:rPr>
        <w:t xml:space="preserve">cresc riscul de fx.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HPTH primar --&gt; mai ales pe osul cortical. Trt chirurgical.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hipercalciurie idiopatica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hipogonadism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deficit de GH - crestere risc de fx de 2-3*; dispare efectul anabolic al IGF1 si prot de legare pe osteoblast.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ACM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Tulburari gastrointestinale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celiachie - de 17 ori mai frecventa la cei cu OP decat fara. Malabsorbtie de calciu si vit d.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boala intestinala inflamatorie, mai sever la cei Cohn decat la cei cu colita ulcerativa. Determinata de </w:t>
      </w:r>
      <w:r>
        <w:rPr>
          <w:rStyle w:val="Character1"/>
        </w:rPr>
        <w:t xml:space="preserve">malabdorbtie, CoT, imobilizare, citokine proinflamatorii.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fibroza chistica, post operator - sind de intestin scurt, cu malabsorbtie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hipoaciditatea (pompa de protoni, gasterctomie, gastrita atrofica) - calciu citrat/ gluconat se absoarbe bine, </w:t>
      </w:r>
      <w:r>
        <w:rPr>
          <w:rStyle w:val="Character1"/>
        </w:rPr>
        <w:t xml:space="preserve">calciu carbonat mai prost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chirurgie bariatrica - malabsorbtie de ca si vit D, cresterea riscului de fx legata si de gradul de scadere in </w:t>
      </w:r>
      <w:r>
        <w:rPr>
          <w:rStyle w:val="Character1"/>
        </w:rPr>
        <w:t xml:space="preserve">greutate.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malabsorbtie - colestaza, ciroza hep,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deficit de vitamina D, deficit de calciu, alte deficiente nutritionale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Boli inflamatorii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poliartrita reumatoida, LES, spondiloza ankilopoetice, alte boli inflamatorii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Altele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boala renala cronica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boali hematologice: MM/ gama patii monoclonale de semnificatie necunoscuta, leucemii sau limfoame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MM, mecanisme multiple - secreta RANKL si determina activarea osteoclastelor si pe calea de semnalizare </w:t>
      </w:r>
      <w:r>
        <w:rPr>
          <w:rStyle w:val="Character1"/>
        </w:rPr>
        <w:t xml:space="preserve">WNT. Nr 16*&gt; de fx in primul an de la dg de MM fata de pop generala; apoi risc crescut de 2-3*; risc &gt; si </w:t>
      </w:r>
      <w:r>
        <w:rPr>
          <w:rStyle w:val="Character1"/>
        </w:rPr>
        <w:t xml:space="preserve">incazul gamapatiilor monoclonale; 5% din cei cu OP pot avea MM.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alcoolism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HIV - infectia sau medicamentele - risc ce 4*&gt;.BMI scazut, malnutritie/malabsorbtie; alcoolism, deficit de </w:t>
      </w:r>
      <w:r>
        <w:rPr>
          <w:rStyle w:val="Character1"/>
        </w:rPr>
        <w:t xml:space="preserve">vitamina D, infectie/inflamatie; hipogonadism; deficit de GH.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Gaucher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Mastocitoza - pierdere severa, degranulare mastocite care determina secretie de histamina si diferite </w:t>
      </w:r>
      <w:r>
        <w:rPr>
          <w:rStyle w:val="Character1"/>
        </w:rPr>
        <w:t xml:space="preserve">interleukine, cu activarea precursorilor de osteoclaste. Os trabecular + cortical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hemocromatoza ereditara, talasemie majora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DZ 1/2. Creste riscul de fx de 12* in DZ 1 fata de non DZ. Lipsa efectului anabolic al insulinei si al altor </w:t>
      </w:r>
      <w:r>
        <w:rPr>
          <w:rStyle w:val="Character1"/>
        </w:rPr>
        <w:t xml:space="preserve">peptide pancreatice. In DZ2 au risc crescut de fx, mai mare decat cel explicat prin frecventa mai mare de caderi </w:t>
      </w:r>
      <w:r>
        <w:rPr>
          <w:rStyle w:val="Character1"/>
        </w:rPr>
        <w:t xml:space="preserve">(neuropatie, miopatie). Mai ales dc folosesc tiazolidondione= sensibilizatoare de insulina. acestea determina </w:t>
      </w:r>
      <w:r>
        <w:rPr>
          <w:rStyle w:val="Character1"/>
        </w:rPr>
        <w:t xml:space="preserve">suntarea precursorilor osteoblastelor pe pe linia adipocitelor, cu scaderea formarii de os si metabolism osos </w:t>
      </w:r>
      <w:r>
        <w:rPr>
          <w:rStyle w:val="Character1"/>
        </w:rPr>
        <w:t xml:space="preserve">catabolic. Risc de fx de 3*&gt;, os cortical si os trabecular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Medicamente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CoT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calciuretice: tiazolidindione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antiestrogenice/ antiandrogenice = analogi de GnRH; inhibit de aromataza (lanastrozol, etc); </w:t>
      </w:r>
      <w:r>
        <w:rPr>
          <w:rStyle w:val="Character1"/>
        </w:rPr>
        <w:t xml:space="preserve">antiandrogenice (ciproteron acetat)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antiepileptice (fenitoina si carbamazepina, ac valproic)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inhibitorii de calcineurina - ciclosporina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chemoterapie - metotrexat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heparina cu greutate moleculara mica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inhibitorii de pompa de protoni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vitamina 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inhibitorii de lipaza -orlistat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9. Potentiale</w:t>
      </w:r>
      <w:r>
        <w:rPr>
          <w:rStyle w:val="Character3"/>
        </w:rPr>
        <w:t xml:space="preserve">   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depresie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homocisteina crescuta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EVALUARE LABORATOR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initial: HLG (anemie/malignitati hematologice) caliu seric si urinar (controlde natriurie si creatinina urinara</w:t>
      </w:r>
      <w:r>
        <w:rPr>
          <w:rStyle w:val="Character1"/>
        </w:rPr>
        <w:t xml:space="preserve">- pentru a exclude regimurile fara sare care determina hipocalciurie falsa) creatinina urinara si serica, fosfor </w:t>
      </w:r>
      <w:r>
        <w:rPr>
          <w:rStyle w:val="Character1"/>
        </w:rPr>
        <w:t xml:space="preserve">seric, TSH, 25 OH vitamina D, ionograma, transaminaze, albumina, fosfataza alcalina (paget sau osteomalacie ? </w:t>
      </w:r>
      <w:r>
        <w:rPr>
          <w:rStyle w:val="Character1"/>
        </w:rPr>
        <w:t>Hipofosfatasemie)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ulterior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FSH, LH, E2, PRL, fT4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PTH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1,25 OH vitamina 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CLU / test la DXM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sideremie, feritina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screening de celiachie si de HIV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electroforezaproteine serice si urinare, eventual cu imunofixare pt lanturi kappa/lambda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VSH sau CRP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                tripatza serica si histamina urinara pt mastocitoza sau mai precise sunt </w:t>
      </w:r>
      <w:r>
        <w:rPr>
          <w:rStyle w:val="Character3"/>
        </w:rPr>
        <w:t xml:space="preserve">N-methylhistamine sau 11-beta </w:t>
      </w:r>
      <w:r>
        <w:rPr>
          <w:rStyle w:val="Character3"/>
        </w:rPr>
        <w:t xml:space="preserve">prostaglandin F2alpha urinare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COL1A - genetica pt colagen anormal din osteogeneza imperfecta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merkeri ososi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biopsie creasta iliaca - mastocitoza; osteomalacie, MM, leucemii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masuri generale: stop fumat/alcool; exercitii, aport de proteine, calciu (1000 mg/zi), vitamina D(600U/zi).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au fx si BMD este satbil -&gt; monitorizare. Riscul lor de fx este mai mic decat la f.PM cu acelasi BMD.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Urmaresc dupa 1-2 ani pt a vedea daca pierd BMD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Hipercalciurie - hydrochlorothiazida 12,5-25 mg oe 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Vitamina D ai sa ajung cu25 OH vitamina D la peste 30; daca nu se poate po --&gt; 100.000 -200.000 U la 3 luni </w:t>
      </w:r>
      <w:r>
        <w:rPr>
          <w:rStyle w:val="Character1"/>
        </w:rPr>
        <w:t xml:space="preserve">sau 10.000 U saptamanal p.o. (pot creste pana la 50.000-100.000U (bi)saptamanal la cei cu malabsorbtie severa)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Tratez cauzele secundare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Tratez cu antiresorbtive/anabolice. NU raloxifen in preMP pt ca blocheaza act estrogenilor si scade si mai </w:t>
      </w:r>
      <w:r>
        <w:rPr>
          <w:rStyle w:val="Character1"/>
        </w:rPr>
        <w:t xml:space="preserve">mult BMD.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3.a contraceptive orale - doza prea mica de e2 la 30 mmg/zi, nu au efect sau au efect negativ la f. Fara deficit de </w:t>
      </w:r>
      <w:r>
        <w:rPr>
          <w:rStyle w:val="Character1"/>
        </w:rPr>
        <w:t>e2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medroxiPg acetat determina amenoree hipotalamica -&gt; pierdere de masa osoasa care e partial reversibila (se </w:t>
      </w:r>
      <w:r>
        <w:rPr>
          <w:rStyle w:val="Character1"/>
        </w:rPr>
        <w:t xml:space="preserve">reface mai bine la coloana decat la solduri)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3.b bifosfonati - la cele cu fx sau cu pierdere continua de masa osoasa, FDA - doar pt cele cu CoT. Nu daca vrea </w:t>
      </w:r>
      <w:r>
        <w:rPr>
          <w:rStyle w:val="Character1"/>
        </w:rPr>
        <w:t xml:space="preserve">sarcina ulerior si NUUU in timul sarcinii. Evidenta anecdotica momentan la oameni in sarcina. Atentie la durata </w:t>
      </w:r>
      <w:r>
        <w:rPr>
          <w:rStyle w:val="Character1"/>
        </w:rPr>
        <w:t xml:space="preserve">de trt dat riscurilo de fx atipica si de osteonecroza de mandibula.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3.c Denosumb - inca neaprobat in preMP. NU in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3.d teriparatid - eficient la cele care primesc analogi de GnRH, CoT, IOP. Cele cu turnover osos foarte jos nu au </w:t>
      </w:r>
      <w:r>
        <w:rPr>
          <w:rStyle w:val="Character1"/>
        </w:rPr>
        <w:t xml:space="preserve">avut rezultate. Efect pe termen lung necunoscut - rezervat la cele cu risc maxim de fx; DOAR DUPA ce s-au </w:t>
      </w:r>
      <w:r>
        <w:rPr>
          <w:rStyle w:val="Character1"/>
        </w:rPr>
        <w:t xml:space="preserve">inchis cartilajele de crestere.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SITUATII SPECIALE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1.steoporoza indusa de CoT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1.a - estrogeni pt ca CoT determina tulburari de mestra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1.b - bisfosfonati alndronat si risendronat -- daca iau peste 7,5mg prednison peste 3 luni. ! La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1.c - teriparatid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OP indusa de sarcina sau lactatie - bisfosfonati sau teriparatid ( nu se stie cat e efectul medicatiei si cat e </w:t>
      </w:r>
      <w:r>
        <w:rPr>
          <w:rStyle w:val="Character1"/>
        </w:rPr>
        <w:t xml:space="preserve">refacerea normala a osului). Dg prin fx in trim 3 sau in perioada de lactatie. Daca nu se remite dupa 18/24 luni e </w:t>
      </w:r>
      <w:r>
        <w:rPr>
          <w:rStyle w:val="Character1"/>
        </w:rPr>
        <w:t xml:space="preserve">idiopatica. Atentie la folosirea de hepatine cu greutate mo,e ulara mica. Multipsritatea nu e factor de risc.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"/>
        </w:rPr>
        <w:t xml:space="preserve">Osteoporoza de sarcina - prezentare 2015</w:t>
      </w:r>
    </w:p>
    <w:p>
      <w:pPr>
        <w:pStyle w:val="Para7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7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"/>
        </w:rPr>
        <w:t xml:space="preserve">Dg prin durere -- RMN. </w:t>
      </w:r>
    </w:p>
    <w:p>
      <w:pPr>
        <w:pStyle w:val="Para7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"/>
        </w:rPr>
        <w:t>Subponderale/normoponderale</w:t>
      </w:r>
    </w:p>
    <w:p>
      <w:pPr>
        <w:pStyle w:val="Para7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"/>
        </w:rPr>
        <w:t xml:space="preserve">Nu datorita heparine cu greutate molec mica, desi unii autori au gasit alte rezultate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3. Anorexia nervosa - estrogenii nu au efect; bisofonatii da, dar mai bine are efect normalizarea BMD.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z w:val="24"/>
    </w:rPr>
  </w:style>
  <w:style w:type="character" w:customStyle="1" w:styleId="Character3">
    <w:name w:val="CharAttribute3"/>
    <w:rPr>
      <w:rFonts w:ascii="Times New Roman" w:eastAsia="굴림"/>
    </w:rPr>
  </w:style>
  <w:style w:type="character" w:customStyle="1" w:styleId="Character4">
    <w:name w:val="CharAttribute4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799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