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C2" w:rsidRDefault="00B44380" w:rsidP="004A53CE">
      <w:pPr>
        <w:pStyle w:val="ParaAttribute0"/>
        <w:wordWrap/>
        <w:spacing w:before="100" w:beforeAutospacing="1" w:after="100" w:afterAutospacing="1"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HIPOCALCEMIE</w:t>
      </w:r>
    </w:p>
    <w:p w:rsidR="00A22AC2" w:rsidRDefault="00B44380" w:rsidP="004A53CE">
      <w:pPr>
        <w:pStyle w:val="ParaAttribute0"/>
        <w:wordWrap/>
        <w:spacing w:before="100" w:beforeAutospacing="1" w:after="100" w:afterAutospacing="1"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CLINIC</w:t>
      </w:r>
    </w:p>
    <w:tbl>
      <w:tblPr>
        <w:tblStyle w:val="DefaultTable"/>
        <w:tblW w:w="0" w:type="auto"/>
        <w:tblInd w:w="0" w:type="dxa"/>
        <w:tblLook w:val="0000" w:firstRow="0" w:lastRow="0" w:firstColumn="0" w:lastColumn="0" w:noHBand="0" w:noVBand="0"/>
      </w:tblPr>
      <w:tblGrid>
        <w:gridCol w:w="2308"/>
        <w:gridCol w:w="1310"/>
        <w:gridCol w:w="5958"/>
      </w:tblGrid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Neuromuscular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Acut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Hiperexcitabilitate neuromusculara: Chvosteck + ;Trousseau +</w:t>
            </w:r>
          </w:p>
          <w:p w:rsidR="005E358D" w:rsidRDefault="00B44380" w:rsidP="002F407F">
            <w:pPr>
              <w:pStyle w:val="ParaAttribute1"/>
              <w:wordWrap/>
            </w:pPr>
            <w:r>
              <w:rPr>
                <w:rStyle w:val="CharAttribute1"/>
                <w:szCs w:val="22"/>
              </w:rPr>
              <w:t>Tetanie</w:t>
            </w:r>
            <w:r w:rsidR="005E358D">
              <w:rPr>
                <w:rStyle w:val="CharAttribute1"/>
                <w:szCs w:val="22"/>
              </w:rPr>
              <w:t xml:space="preserve"> =</w:t>
            </w:r>
            <w:r w:rsidR="005E358D">
              <w:t xml:space="preserve"> </w:t>
            </w:r>
            <w:r w:rsidR="005E358D">
              <w:t>spontaneous tonic muscular contraction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convulsii/crize epileptice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Bronhspasm/laringospasm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Miopatie severa, incl cu CK crescut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neurologic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cronic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Calcificari nucl bazali; calcificari in cortexul cerebral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Tulburari extrapiramidale/parkinsonism; tulb de personalitate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Iritabilitate; hipertensiune intracraniana</w:t>
            </w:r>
          </w:p>
          <w:p w:rsidR="00A22AC2" w:rsidRDefault="00B44380" w:rsidP="002F407F">
            <w:pPr>
              <w:pStyle w:val="ParaAttribute1"/>
              <w:wordWrap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Confuzie, dezorientare; psihoza; tulb de concentrare</w:t>
            </w:r>
          </w:p>
          <w:p w:rsidR="003917E8" w:rsidRDefault="003917E8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depresie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Muschi neted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2F407F">
            <w:pPr>
              <w:pStyle w:val="ParaAttribute2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Dureri abdominale; disfag</w:t>
            </w:r>
            <w:r>
              <w:rPr>
                <w:rStyle w:val="CharAttribute1"/>
                <w:szCs w:val="22"/>
              </w:rPr>
              <w:t xml:space="preserve">ie; 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wheezing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Piele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cronic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Par, unghii friabile; piele uscata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Exema atopica; dermatita exfoliativa; 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Eruptie intarziata dinti; carii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Ochi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2F407F">
            <w:pPr>
              <w:pStyle w:val="ParaAttribute2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Cataracta subcapsulara; edem papilar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cord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2F407F">
            <w:pPr>
              <w:pStyle w:val="ParaAttribute2"/>
              <w:wordWrap/>
              <w:spacing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Prelungire interval QT; 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ICC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cardiomiopatie</w:t>
            </w:r>
          </w:p>
        </w:tc>
      </w:tr>
      <w:tr w:rsidR="00A22AC2" w:rsidTr="002F407F"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2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2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2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A22AC2" w:rsidRDefault="00B44380" w:rsidP="004A53CE">
      <w:pPr>
        <w:pStyle w:val="ParaAttribute0"/>
        <w:wordWrap/>
        <w:spacing w:before="100" w:beforeAutospacing="1" w:after="100" w:afterAutospacing="1"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CAUZE</w:t>
      </w:r>
      <w:r w:rsidR="002F407F">
        <w:rPr>
          <w:rStyle w:val="CharAttribute1"/>
          <w:szCs w:val="22"/>
        </w:rPr>
        <w:t xml:space="preserve"> HIPOCALCEMIE</w:t>
      </w:r>
    </w:p>
    <w:tbl>
      <w:tblPr>
        <w:tblStyle w:val="DefaultTable"/>
        <w:tblW w:w="0" w:type="auto"/>
        <w:tblInd w:w="0" w:type="dxa"/>
        <w:tblLook w:val="0000" w:firstRow="0" w:lastRow="0" w:firstColumn="0" w:lastColumn="0" w:noHBand="0" w:noVBand="0"/>
      </w:tblPr>
      <w:tblGrid>
        <w:gridCol w:w="2898"/>
        <w:gridCol w:w="1350"/>
        <w:gridCol w:w="5328"/>
      </w:tblGrid>
      <w:tr w:rsidR="00A22AC2" w:rsidTr="002F407F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Deficit de vitamina D</w:t>
            </w:r>
          </w:p>
        </w:tc>
        <w:tc>
          <w:tcPr>
            <w:tcW w:w="6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Deficit de aport/sinteza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Exces de eliminare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Defect de receptor</w:t>
            </w:r>
          </w:p>
        </w:tc>
      </w:tr>
      <w:tr w:rsidR="00A22AC2" w:rsidTr="002F407F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Deficit de PTH</w:t>
            </w:r>
          </w:p>
        </w:tc>
        <w:tc>
          <w:tcPr>
            <w:tcW w:w="6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hipoPTH -&gt; </w:t>
            </w:r>
            <w:r>
              <w:rPr>
                <w:rStyle w:val="CharAttribute3"/>
                <w:szCs w:val="22"/>
              </w:rPr>
              <w:t>hipoCa+hiperPO4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pseudohipoPTH [rezistenta la PTH]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hipo/hiperMg</w:t>
            </w:r>
          </w:p>
        </w:tc>
      </w:tr>
      <w:tr w:rsidR="00A22AC2" w:rsidTr="002F407F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hiperfosfatemie</w:t>
            </w:r>
          </w:p>
        </w:tc>
        <w:tc>
          <w:tcPr>
            <w:tcW w:w="6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Insuficienta renala</w:t>
            </w:r>
            <w:r w:rsidR="005E358D">
              <w:rPr>
                <w:rStyle w:val="CharAttribute1"/>
                <w:szCs w:val="22"/>
              </w:rPr>
              <w:t xml:space="preserve"> </w:t>
            </w:r>
            <w:r w:rsidR="005E358D">
              <w:rPr>
                <w:rStyle w:val="CharAttribute1"/>
                <w:szCs w:val="22"/>
              </w:rPr>
              <w:t>–</w:t>
            </w:r>
            <w:r w:rsidR="005E358D">
              <w:rPr>
                <w:rStyle w:val="CharAttribute1"/>
                <w:szCs w:val="22"/>
              </w:rPr>
              <w:t xml:space="preserve"> lipsa de raspuns la PTH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Citoliza tisulara crescuta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liza tumorala; crush injury</w:t>
            </w:r>
          </w:p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Aport crescut de PO4</w:t>
            </w:r>
          </w:p>
        </w:tc>
      </w:tr>
      <w:tr w:rsidR="002F407F" w:rsidTr="006E4F1E"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07F" w:rsidRDefault="002F407F" w:rsidP="002F407F">
            <w:pPr>
              <w:pStyle w:val="ParaAttribute1"/>
              <w:wordWrap/>
              <w:rPr>
                <w:rStyle w:val="CharAttribute1"/>
                <w:szCs w:val="22"/>
              </w:rPr>
            </w:pPr>
          </w:p>
        </w:tc>
      </w:tr>
      <w:tr w:rsidR="00A22AC2" w:rsidTr="002F407F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5E358D">
            <w:pPr>
              <w:pStyle w:val="ParaAttribute1"/>
              <w:wordWrap/>
              <w:rPr>
                <w:rFonts w:ascii="Calibri" w:eastAsia="Calibri" w:hAnsi="Calibri"/>
                <w:i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Hungry bone sindrome [postHPTH sau post Hty]</w:t>
            </w:r>
            <w:r w:rsidR="005E358D">
              <w:rPr>
                <w:rStyle w:val="CharAttribute1"/>
                <w:szCs w:val="22"/>
              </w:rPr>
              <w:t xml:space="preserve"> - </w:t>
            </w:r>
            <w:r>
              <w:rPr>
                <w:rStyle w:val="CharAttribute3"/>
                <w:szCs w:val="22"/>
              </w:rPr>
              <w:t>hipoCa+hipoPO4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pancreatita acuta</w:t>
            </w:r>
          </w:p>
        </w:tc>
      </w:tr>
      <w:tr w:rsidR="00A22AC2" w:rsidTr="002F407F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Hipocalcemie neonatala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Rabdomioliza</w:t>
            </w:r>
          </w:p>
        </w:tc>
      </w:tr>
      <w:tr w:rsidR="00A22AC2" w:rsidTr="002F407F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Bisfosfonati/prolia la pac cu deficit de vitD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Perfuzie cu san</w:t>
            </w:r>
            <w:r>
              <w:rPr>
                <w:rStyle w:val="CharAttribute1"/>
                <w:szCs w:val="22"/>
              </w:rPr>
              <w:t>ge cu citrat in cantitate mare</w:t>
            </w:r>
          </w:p>
        </w:tc>
      </w:tr>
      <w:tr w:rsidR="00A22AC2" w:rsidTr="002F407F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Metastaze osteoformatoare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2F407F">
            <w:pPr>
              <w:pStyle w:val="ParaAttribute1"/>
              <w:wordWrap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Defecte mitocondriale</w:t>
            </w:r>
          </w:p>
        </w:tc>
      </w:tr>
      <w:tr w:rsidR="005E358D" w:rsidTr="002F407F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58D" w:rsidRDefault="005E358D" w:rsidP="002F407F">
            <w:pPr>
              <w:pStyle w:val="ParaAttribute1"/>
              <w:wordWrap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 xml:space="preserve">Medicamente care blocheaza resorbtia osoasa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bisfosf; calcitonina;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58D" w:rsidRDefault="005E358D" w:rsidP="002F407F">
            <w:pPr>
              <w:pStyle w:val="ParaAttribute1"/>
              <w:wordWrap/>
              <w:rPr>
                <w:rStyle w:val="CharAttribute1"/>
                <w:szCs w:val="22"/>
              </w:rPr>
            </w:pPr>
          </w:p>
        </w:tc>
      </w:tr>
    </w:tbl>
    <w:p w:rsidR="00A22AC2" w:rsidRDefault="002F407F" w:rsidP="004A53CE">
      <w:pPr>
        <w:pStyle w:val="ParaAttribute0"/>
        <w:wordWrap/>
        <w:spacing w:before="100" w:beforeAutospacing="1" w:after="100" w:afterAutospacing="1"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H</w:t>
      </w:r>
      <w:r w:rsidR="00B44380">
        <w:rPr>
          <w:rStyle w:val="CharAttribute1"/>
          <w:szCs w:val="22"/>
        </w:rPr>
        <w:t>IPOPARATIROIDISM</w:t>
      </w:r>
    </w:p>
    <w:p w:rsidR="003917E8" w:rsidRDefault="003917E8" w:rsidP="004A53CE">
      <w:pPr>
        <w:pStyle w:val="ParaAttribute0"/>
        <w:wordWrap/>
        <w:spacing w:before="100" w:beforeAutospacing="1" w:after="100" w:afterAutospacing="1"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In plus la clinic </w:t>
      </w:r>
      <w:r>
        <w:rPr>
          <w:rStyle w:val="CharAttribute1"/>
          <w:szCs w:val="22"/>
        </w:rPr>
        <w:t>–</w:t>
      </w:r>
      <w:r>
        <w:rPr>
          <w:rStyle w:val="CharAttribute1"/>
          <w:szCs w:val="22"/>
        </w:rPr>
        <w:t xml:space="preserve"> litiaza renala [hipercalciurie cu hiperfosfosfaturie]; nefrocalcinoza, insuficienta renala</w:t>
      </w:r>
    </w:p>
    <w:tbl>
      <w:tblPr>
        <w:tblStyle w:val="DefaultTable"/>
        <w:tblW w:w="0" w:type="auto"/>
        <w:tblInd w:w="-612" w:type="dxa"/>
        <w:tblLook w:val="0000" w:firstRow="0" w:lastRow="0" w:firstColumn="0" w:lastColumn="0" w:noHBand="0" w:noVBand="0"/>
      </w:tblPr>
      <w:tblGrid>
        <w:gridCol w:w="1170"/>
        <w:gridCol w:w="1905"/>
        <w:gridCol w:w="7113"/>
      </w:tblGrid>
      <w:tr w:rsidR="00A22AC2" w:rsidTr="009C3E85"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dobandit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Postoperator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ListParagraph"/>
              <w:numPr>
                <w:ilvl w:val="0"/>
                <w:numId w:val="1"/>
              </w:numPr>
              <w:wordWrap/>
              <w:spacing w:before="100" w:beforeAutospacing="1" w:after="100" w:afterAutospacing="1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Style w:val="CharAttribute1"/>
                <w:szCs w:val="22"/>
              </w:rPr>
              <w:t xml:space="preserve">hipoPTH tranzitor/definitiv: </w:t>
            </w:r>
            <w:r>
              <w:rPr>
                <w:rStyle w:val="CharAttribute3"/>
                <w:szCs w:val="22"/>
              </w:rPr>
              <w:t>hipoCa+hiperPO4</w:t>
            </w:r>
          </w:p>
          <w:p w:rsidR="00A22AC2" w:rsidRDefault="00B44380" w:rsidP="004A53CE">
            <w:pPr>
              <w:pStyle w:val="ListParagraph"/>
              <w:numPr>
                <w:ilvl w:val="0"/>
                <w:numId w:val="2"/>
              </w:numPr>
              <w:wordWrap/>
              <w:spacing w:before="100" w:beforeAutospacing="1" w:after="100" w:afterAutospacing="1"/>
              <w:contextualSpacing/>
              <w:jc w:val="left"/>
              <w:rPr>
                <w:rFonts w:ascii="Calibri" w:eastAsia="Calibri" w:hAnsi="Calibri"/>
              </w:rPr>
            </w:pPr>
            <w:r>
              <w:rPr>
                <w:rStyle w:val="CharAttribute1"/>
                <w:szCs w:val="22"/>
              </w:rPr>
              <w:lastRenderedPageBreak/>
              <w:t xml:space="preserve">Hungry bone sindr: </w:t>
            </w:r>
            <w:r>
              <w:rPr>
                <w:rStyle w:val="CharAttribute3"/>
                <w:szCs w:val="22"/>
              </w:rPr>
              <w:t>hipoCA+hipoPO4</w:t>
            </w:r>
          </w:p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Dozare de calciu la 16 ore postop; sau dozare de PTH [dc e &lt;10 -&gt; va face hipocalcemie]</w:t>
            </w:r>
          </w:p>
          <w:p w:rsidR="002F407F" w:rsidRDefault="002F407F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2-10% pc, mai ales post tiroidectomie totala; si disectie ganglionara</w:t>
            </w:r>
            <w:r w:rsidR="003917E8">
              <w:rPr>
                <w:rStyle w:val="CharAttribute1"/>
                <w:szCs w:val="22"/>
              </w:rPr>
              <w:t>. Dc pleaca din calciu crescut poate dura cateva zile pana devine scazut</w:t>
            </w:r>
          </w:p>
        </w:tc>
      </w:tr>
      <w:tr w:rsidR="00A22AC2" w:rsidTr="009C3E85">
        <w:trPr>
          <w:trHeight w:val="538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Postiradiere tiroidiana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22AC2" w:rsidTr="009C3E85">
        <w:trPr>
          <w:trHeight w:val="269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Autoimun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Izolat</w:t>
            </w:r>
          </w:p>
        </w:tc>
      </w:tr>
      <w:tr w:rsidR="00A22AC2" w:rsidTr="009C3E85">
        <w:trPr>
          <w:trHeight w:val="1614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Sindr poliglandular autoimun tip 1: ar; penetranta 100%: </w:t>
            </w:r>
          </w:p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hipoPTH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deutata in medie la 8 ani: </w:t>
            </w:r>
          </w:p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ICSR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debutata in medie la 14 ani</w:t>
            </w:r>
          </w:p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Candidoza muco-cutanata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prima debutata in medie la 5 ani</w:t>
            </w:r>
          </w:p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+/- DZ1; hipogonadism; alopecie; vitiligo; boala ty autoimuna; hepatita autoimuna</w:t>
            </w:r>
          </w:p>
          <w:p w:rsidR="002D15DD" w:rsidRDefault="002D15DD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Ac anti CaSR; penetranta variabila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100% din femei fac hipoPTH, dar doar 60% din barbati</w:t>
            </w:r>
          </w:p>
        </w:tc>
      </w:tr>
      <w:tr w:rsidR="00A22AC2" w:rsidTr="009C3E85">
        <w:trPr>
          <w:trHeight w:val="1076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infiltrativ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Hemocromatoza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Incarcare cu fer in talasemie majora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Wilson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Carcinom metastatic</w:t>
            </w:r>
          </w:p>
        </w:tc>
      </w:tr>
      <w:tr w:rsidR="00A22AC2" w:rsidTr="009C3E85"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neonatal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hiperPTH matern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22AC2" w:rsidTr="009C3E85">
        <w:trPr>
          <w:trHeight w:val="269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FHH matern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22AC2" w:rsidTr="009C3E85"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Genetic </w:t>
            </w:r>
            <w:r>
              <w:rPr>
                <w:rStyle w:val="CharAttribute1"/>
                <w:szCs w:val="22"/>
              </w:rPr>
              <w:t>–</w:t>
            </w:r>
            <w:r w:rsidR="009C3E85">
              <w:rPr>
                <w:rStyle w:val="CharAttribute1"/>
                <w:szCs w:val="22"/>
              </w:rPr>
              <w:t xml:space="preserve">sindromic </w:t>
            </w:r>
            <w:r>
              <w:rPr>
                <w:rStyle w:val="CharAttribute1"/>
                <w:szCs w:val="22"/>
              </w:rPr>
              <w:t>sau izolat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DiGeorge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anomalii arcuri brahiale ? 3 si 4. Deletii crz 22</w:t>
            </w:r>
            <w:r w:rsidR="002D15DD">
              <w:rPr>
                <w:rStyle w:val="CharAttribute1"/>
                <w:szCs w:val="22"/>
              </w:rPr>
              <w:t xml:space="preserve"> </w:t>
            </w:r>
            <w:r w:rsidR="002D15DD">
              <w:rPr>
                <w:rStyle w:val="CharAttribute1"/>
                <w:szCs w:val="22"/>
              </w:rPr>
              <w:t>–</w:t>
            </w:r>
            <w:r w:rsidR="002D15DD">
              <w:rPr>
                <w:rStyle w:val="CharAttribute1"/>
                <w:szCs w:val="22"/>
              </w:rPr>
              <w:t xml:space="preserve"> gena TBX1, gena de reglare a organogenezei. Asociaza un grd de deficit neurologic. </w:t>
            </w:r>
          </w:p>
          <w:p w:rsidR="00A22AC2" w:rsidRDefault="00B44380" w:rsidP="004A53CE">
            <w:pPr>
              <w:pStyle w:val="ParaAttribute9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hipoPTH == hipocalcemii severe</w:t>
            </w:r>
            <w:r w:rsidR="002D15DD">
              <w:rPr>
                <w:rStyle w:val="CharAttribute1"/>
                <w:szCs w:val="22"/>
              </w:rPr>
              <w:t xml:space="preserve"> mai ales neonatal, incl convulsii apoi se amelioreaza cu timpul; apare la 50% din pc cu mutatie</w:t>
            </w:r>
          </w:p>
          <w:p w:rsidR="00A22AC2" w:rsidRDefault="00B44380" w:rsidP="004A53CE">
            <w:pPr>
              <w:pStyle w:val="ParaAttribute9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hipoplazie/agenezie timus == imunodeficienta celulara; infectii resp </w:t>
            </w:r>
            <w:r>
              <w:rPr>
                <w:rStyle w:val="CharAttribute1"/>
                <w:szCs w:val="22"/>
              </w:rPr>
              <w:t>frecvente</w:t>
            </w:r>
          </w:p>
          <w:p w:rsidR="00A22AC2" w:rsidRDefault="00B44380" w:rsidP="004A53CE">
            <w:pPr>
              <w:pStyle w:val="ParaAttribute9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malformatii cardiace [Fallot; trunchi arterial]</w:t>
            </w:r>
          </w:p>
        </w:tc>
      </w:tr>
      <w:tr w:rsidR="00A22AC2" w:rsidTr="009C3E85">
        <w:trPr>
          <w:trHeight w:val="807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Mutatii activatoare de CaSR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Legat de prot G si AMPc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hipoCa si hiperCa-urie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nefrolitiaza in caz de trt cu vitamina D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frecvente</w:t>
            </w:r>
          </w:p>
        </w:tc>
      </w:tr>
      <w:tr w:rsidR="00A22AC2" w:rsidTr="009C3E85">
        <w:trPr>
          <w:trHeight w:val="538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HDR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Hipoparatiroidism; deafness; renal anomalies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AD. Mutatii GATA3 </w:t>
            </w:r>
            <w:r>
              <w:rPr>
                <w:rStyle w:val="CharAttribute1"/>
                <w:szCs w:val="22"/>
              </w:rPr>
              <w:t>–</w:t>
            </w:r>
            <w:r>
              <w:rPr>
                <w:rStyle w:val="CharAttribute1"/>
                <w:szCs w:val="22"/>
              </w:rPr>
              <w:t xml:space="preserve"> gena implicata in dezvoltarea paraty</w:t>
            </w:r>
          </w:p>
        </w:tc>
      </w:tr>
      <w:tr w:rsidR="00A22AC2" w:rsidTr="009C3E85">
        <w:trPr>
          <w:trHeight w:val="269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HRD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Hipoparatiroidism; retard; dismorfism</w:t>
            </w:r>
          </w:p>
        </w:tc>
      </w:tr>
      <w:tr w:rsidR="00A22AC2" w:rsidTr="009C3E85">
        <w:trPr>
          <w:trHeight w:val="538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AC2" w:rsidRDefault="00A22AC2" w:rsidP="004A53CE">
            <w:pPr>
              <w:wordWrap/>
              <w:spacing w:before="100" w:beforeAutospacing="1" w:after="100" w:afterAutospacing="1"/>
              <w:jc w:val="left"/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Defecte mitocondriale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22AC2" w:rsidTr="009C3E85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A22AC2" w:rsidP="004A53CE">
            <w:pPr>
              <w:pStyle w:val="ParaAttribute5"/>
              <w:wordWrap/>
              <w:spacing w:before="100" w:beforeAutospacing="1" w:after="100" w:afterAutospacing="1"/>
              <w:contextualSpacing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1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Hipoparatiroidism familial izolat 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AD, Ar, Xlinkat</w:t>
            </w:r>
          </w:p>
          <w:p w:rsidR="00A22AC2" w:rsidRDefault="00B44380" w:rsidP="004A53CE">
            <w:pPr>
              <w:pStyle w:val="ParaAttribute6"/>
              <w:wordWrap/>
              <w:spacing w:before="100" w:beforeAutospacing="1" w:after="100" w:afterAutospacing="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Uneori produc molecule de PTH care nu sunt recunoscute decat de unele </w:t>
            </w:r>
            <w:r>
              <w:rPr>
                <w:rStyle w:val="CharAttribute1"/>
                <w:szCs w:val="22"/>
              </w:rPr>
              <w:t>kituri -&gt; valori mari pe unele laboratoare, valori mici la altele</w:t>
            </w:r>
          </w:p>
        </w:tc>
      </w:tr>
    </w:tbl>
    <w:p w:rsidR="00A22AC2" w:rsidRDefault="00A22AC2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hipoPTH familial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●</w:t>
      </w:r>
      <w:r>
        <w:rPr>
          <w:rStyle w:val="CharAttribute1"/>
          <w:szCs w:val="22"/>
        </w:rPr>
        <w:t xml:space="preserve"> autozomal dominant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 </w:t>
      </w:r>
      <w:r>
        <w:rPr>
          <w:rStyle w:val="CharAttribute1"/>
          <w:szCs w:val="22"/>
        </w:rPr>
        <w:t>○</w:t>
      </w:r>
      <w:r>
        <w:rPr>
          <w:rStyle w:val="CharAttribute1"/>
          <w:szCs w:val="22"/>
        </w:rPr>
        <w:t xml:space="preserve"> mutatii PTH - raman in retic. endoplasmatic si det apoptoza cel</w:t>
      </w:r>
    </w:p>
    <w:p w:rsidR="00A50F35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     </w:t>
      </w:r>
      <w:r>
        <w:rPr>
          <w:rStyle w:val="CharAttribute1"/>
          <w:szCs w:val="22"/>
        </w:rPr>
        <w:t>○</w:t>
      </w:r>
      <w:r>
        <w:rPr>
          <w:rStyle w:val="CharAttribute1"/>
          <w:szCs w:val="22"/>
        </w:rPr>
        <w:t xml:space="preserve"> mutatii gain of function CaSR --&gt; ADH1. Determina scadere</w:t>
      </w:r>
      <w:r>
        <w:rPr>
          <w:rStyle w:val="CharAttribute1"/>
          <w:szCs w:val="22"/>
        </w:rPr>
        <w:t>a secr de PTH si sca</w:t>
      </w:r>
      <w:r w:rsidR="005E358D">
        <w:rPr>
          <w:rStyle w:val="CharAttribute1"/>
          <w:szCs w:val="22"/>
        </w:rPr>
        <w:t>derea reabsorbtiei renale cu hip</w:t>
      </w:r>
      <w:r>
        <w:rPr>
          <w:rStyle w:val="CharAttribute1"/>
          <w:szCs w:val="22"/>
        </w:rPr>
        <w:t>erCaurie</w:t>
      </w:r>
      <w:r w:rsidR="005E358D">
        <w:rPr>
          <w:rStyle w:val="CharAttribute1"/>
          <w:szCs w:val="22"/>
        </w:rPr>
        <w:t xml:space="preserve"> marcata </w:t>
      </w:r>
      <w:r>
        <w:rPr>
          <w:rStyle w:val="CharAttribute1"/>
          <w:szCs w:val="22"/>
        </w:rPr>
        <w:t>. SNDR BARTTER TIP V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  </w:t>
      </w:r>
      <w:r>
        <w:rPr>
          <w:rStyle w:val="CharAttribute1"/>
          <w:szCs w:val="22"/>
        </w:rPr>
        <w:t>○</w:t>
      </w:r>
      <w:r>
        <w:rPr>
          <w:rStyle w:val="CharAttribute1"/>
          <w:szCs w:val="22"/>
        </w:rPr>
        <w:t xml:space="preserve"> mutatii GCM2 sau mutatii activatoare GNA 11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●●</w:t>
      </w:r>
      <w:r>
        <w:rPr>
          <w:rStyle w:val="CharAttribute1"/>
          <w:szCs w:val="22"/>
        </w:rPr>
        <w:t>autozomal recesiv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</w:t>
      </w:r>
      <w:r>
        <w:rPr>
          <w:rStyle w:val="CharAttribute1"/>
          <w:szCs w:val="22"/>
        </w:rPr>
        <w:t>○</w:t>
      </w:r>
      <w:r>
        <w:rPr>
          <w:rStyle w:val="CharAttribute1"/>
          <w:szCs w:val="22"/>
        </w:rPr>
        <w:t xml:space="preserve"> mutatii PTH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</w:t>
      </w:r>
      <w:r>
        <w:rPr>
          <w:rStyle w:val="CharAttribute1"/>
          <w:szCs w:val="22"/>
        </w:rPr>
        <w:t>○</w:t>
      </w:r>
      <w:r>
        <w:rPr>
          <w:rStyle w:val="CharAttribute1"/>
          <w:szCs w:val="22"/>
        </w:rPr>
        <w:t xml:space="preserve"> mutatii GCM2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●●●</w:t>
      </w:r>
      <w:r>
        <w:rPr>
          <w:rStyle w:val="CharAttribute1"/>
          <w:szCs w:val="22"/>
        </w:rPr>
        <w:t xml:space="preserve"> Xlinkat</w:t>
      </w:r>
    </w:p>
    <w:p w:rsidR="00A22AC2" w:rsidRDefault="00A22AC2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Caracterizat de hipocalcemie cu 1, 25 OHVit D scazuta, PTH scazut. Prezinta absorbtie scazuta de Ca si reabsobtie renala de Ca -&gt; hiperCaurie</w:t>
      </w:r>
      <w:r>
        <w:rPr>
          <w:rStyle w:val="CharAttribute1"/>
          <w:szCs w:val="22"/>
        </w:rPr>
        <w:t>. M</w:t>
      </w:r>
      <w:r>
        <w:rPr>
          <w:rStyle w:val="CharAttribute1"/>
          <w:szCs w:val="22"/>
        </w:rPr>
        <w:t>utatiile CaSR care au hiperCaurie marcata</w:t>
      </w:r>
    </w:p>
    <w:p w:rsidR="00A22AC2" w:rsidRDefault="00A22AC2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       Bartter syndrome subtype V - &gt; heterozygou</w:t>
      </w:r>
      <w:r>
        <w:rPr>
          <w:rStyle w:val="CharAttribute1"/>
          <w:szCs w:val="22"/>
        </w:rPr>
        <w:t xml:space="preserve">s severe activating mutations in the CASR , </w:t>
      </w:r>
      <w:r w:rsidR="002D15DD">
        <w:rPr>
          <w:rStyle w:val="CharAttribute1"/>
          <w:szCs w:val="22"/>
        </w:rPr>
        <w:t>AD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-           hypokalemic alkalosis, 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-            hyperreninemia, and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-               hyperaldosteronism. </w:t>
      </w:r>
    </w:p>
    <w:p w:rsidR="00A22AC2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-             hipoCa, doar in forma autozomal dominanta. NKCC2 and ROMK in the apical membrane (luminal s</w:t>
      </w:r>
      <w:r>
        <w:rPr>
          <w:rStyle w:val="CharAttribute1"/>
          <w:szCs w:val="22"/>
        </w:rPr>
        <w:t>ide) of the TAL have been proposed to generate a transepithelial electrochemical gradient that drives passive paracellular transport of Na+, Mg2+, and Ca2+ from the lumen to blood (28). The CASR is situated in the basolateral membrane (antiluminal side) an</w:t>
      </w:r>
      <w:r>
        <w:rPr>
          <w:rStyle w:val="CharAttribute1"/>
          <w:szCs w:val="22"/>
        </w:rPr>
        <w:t xml:space="preserve">d when activated increases 20 hydroxyeicosatetraenoic acid and decreases cAMP concentrations, both of which would inhibit ROMK and NKCC2 activities. </w:t>
      </w:r>
    </w:p>
    <w:p w:rsidR="00FD1DE5" w:rsidRDefault="00FD1DE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2F407F" w:rsidRDefault="009C3E8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Caut o cauza genetica la pacientii care nu sunt postop sau autoimunitate pt a vedea sfat genetic. </w:t>
      </w:r>
    </w:p>
    <w:p w:rsidR="00F65735" w:rsidRDefault="00F6573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F65735" w:rsidRDefault="00F6573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Paraclinic </w:t>
      </w:r>
      <w:r>
        <w:rPr>
          <w:rStyle w:val="CharAttribute1"/>
          <w:szCs w:val="22"/>
        </w:rPr>
        <w:t>–</w:t>
      </w:r>
      <w:r>
        <w:rPr>
          <w:rStyle w:val="CharAttribute1"/>
          <w:szCs w:val="22"/>
        </w:rPr>
        <w:t xml:space="preserve"> hipoCa; hiperCaurie; hiperPO4 [hipoPo4urie prin disparitia efectului fosfaturic al PTH; absorbtie intestinala crescuta datorita trt cu vitamina D activata</w:t>
      </w:r>
    </w:p>
    <w:p w:rsidR="002F407F" w:rsidRDefault="002F407F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2F407F" w:rsidRDefault="002F407F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FD1DE5" w:rsidRDefault="00FD1DE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PSEUDOHIPOPARATIROIDISM</w:t>
      </w:r>
    </w:p>
    <w:p w:rsidR="00FD1DE5" w:rsidRDefault="00FD1DE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A50F35" w:rsidRDefault="00A50F3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Rezistenta la PTH prin afectarea prot subunitatii Gs alpha -&gt; nu se sintetizeaza AMPc. Hipocalcemie, hipocalciurie, fara crestere de AMPc la administrarea de PTH;</w:t>
      </w:r>
      <w:r>
        <w:rPr>
          <w:rStyle w:val="CharAttribute1"/>
          <w:szCs w:val="22"/>
        </w:rPr>
        <w:t xml:space="preserve"> PTH crescut; osteodistrofie Al</w:t>
      </w:r>
      <w:r>
        <w:rPr>
          <w:rStyle w:val="CharAttribute1"/>
          <w:szCs w:val="22"/>
        </w:rPr>
        <w:t>bright</w:t>
      </w:r>
    </w:p>
    <w:p w:rsidR="001D74C1" w:rsidRDefault="001D74C1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Facies rotund</w:t>
      </w:r>
    </w:p>
    <w:p w:rsidR="001D74C1" w:rsidRDefault="001D74C1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Deficit statural cu VO avansata si crestere avansata in copilarie</w:t>
      </w:r>
    </w:p>
    <w:p w:rsidR="001D74C1" w:rsidRDefault="001D74C1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Obezitate</w:t>
      </w:r>
    </w:p>
    <w:p w:rsidR="001D74C1" w:rsidRDefault="001D74C1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Bradidactilie; falanga distala deget I [mana/picior] mai lata decat lunga; metatacarpiene 3,4 mai      scurte [in mod normal o linie trasata intre captul distal al metatacarp </w:t>
      </w:r>
      <w:r w:rsidR="00BC5CBC">
        <w:rPr>
          <w:rStyle w:val="CharAttribute1"/>
          <w:szCs w:val="22"/>
        </w:rPr>
        <w:t xml:space="preserve">2-5 trece distal de metacarp 3 si 4, aici trece proximal </w:t>
      </w:r>
      <w:r w:rsidR="00BC5CBC">
        <w:rPr>
          <w:rStyle w:val="CharAttribute1"/>
          <w:szCs w:val="22"/>
        </w:rPr>
        <w:t>–</w:t>
      </w:r>
      <w:r w:rsidR="00BC5CBC">
        <w:rPr>
          <w:rStyle w:val="CharAttribute1"/>
          <w:szCs w:val="22"/>
        </w:rPr>
        <w:t>ceck again]</w:t>
      </w:r>
    </w:p>
    <w:p w:rsidR="00BC5CBC" w:rsidRDefault="00BC5CBC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Calcificari ectopice subcutanate; in t moi; calcificari in ncl bazali</w:t>
      </w:r>
    </w:p>
    <w:p w:rsidR="00BC5CBC" w:rsidRDefault="00BC5CBC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Retard mintal;</w:t>
      </w:r>
    </w:p>
    <w:p w:rsidR="00BC5CBC" w:rsidRDefault="00BC5CBC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BMD scazut; </w:t>
      </w:r>
    </w:p>
    <w:p w:rsidR="00BC5CBC" w:rsidRDefault="00BC5CBC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t>Hipoplazie dentara</w:t>
      </w:r>
    </w:p>
    <w:p w:rsidR="00BC5CBC" w:rsidRDefault="00BC5CBC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  <w:r>
        <w:rPr>
          <w:rStyle w:val="CharAttribute1"/>
          <w:szCs w:val="22"/>
        </w:rPr>
        <w:lastRenderedPageBreak/>
        <w:t>Cataracta secundara</w:t>
      </w:r>
    </w:p>
    <w:p w:rsidR="00A50F35" w:rsidRDefault="00A50F3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Style w:val="CharAttribute1"/>
          <w:szCs w:val="22"/>
        </w:rPr>
      </w:pPr>
    </w:p>
    <w:p w:rsidR="00A50F35" w:rsidRDefault="00A50F35" w:rsidP="004A53CE">
      <w:pPr>
        <w:pStyle w:val="ParaAttribute11"/>
        <w:wordWrap/>
        <w:spacing w:before="100" w:beforeAutospacing="1" w:after="100" w:afterAutospacing="1" w:line="276" w:lineRule="auto"/>
        <w:contextualSpacing/>
        <w:jc w:val="both"/>
        <w:rPr>
          <w:rStyle w:val="CharAttribute1"/>
          <w:szCs w:val="22"/>
        </w:rPr>
      </w:pPr>
      <w:r>
        <w:rPr>
          <w:rStyle w:val="CharAttribute1"/>
          <w:szCs w:val="22"/>
        </w:rPr>
        <w:t>Gs alpha</w:t>
      </w:r>
      <w:r w:rsidR="004A53CE">
        <w:rPr>
          <w:rStyle w:val="CharAttribute1"/>
          <w:szCs w:val="22"/>
        </w:rPr>
        <w:t xml:space="preserve"> [gena GNAS]</w:t>
      </w:r>
      <w:r>
        <w:rPr>
          <w:rStyle w:val="CharAttribute1"/>
          <w:szCs w:val="22"/>
        </w:rPr>
        <w:t xml:space="preserve"> -&gt; are </w:t>
      </w:r>
      <w:r w:rsidR="004A53CE">
        <w:rPr>
          <w:rStyle w:val="CharAttribute1"/>
          <w:szCs w:val="22"/>
        </w:rPr>
        <w:t>2</w:t>
      </w:r>
      <w:r>
        <w:rPr>
          <w:rStyle w:val="CharAttribute1"/>
          <w:szCs w:val="22"/>
        </w:rPr>
        <w:t xml:space="preserve"> promoteri, </w:t>
      </w:r>
      <w:r w:rsidR="004A53CE">
        <w:rPr>
          <w:rStyle w:val="CharAttribute1"/>
          <w:szCs w:val="22"/>
        </w:rPr>
        <w:t xml:space="preserve">care se activeaza prin metilare diferit in functie de la cine este mostenita; </w:t>
      </w:r>
      <w:r>
        <w:rPr>
          <w:rStyle w:val="CharAttribute1"/>
          <w:szCs w:val="22"/>
        </w:rPr>
        <w:t xml:space="preserve">prezinta activare prin metilare diferita in functie de parintele de la care este mostenita </w:t>
      </w:r>
      <w:r>
        <w:rPr>
          <w:rStyle w:val="CharAttribute1"/>
          <w:szCs w:val="22"/>
        </w:rPr>
        <w:t>–</w:t>
      </w:r>
      <w:r>
        <w:rPr>
          <w:rStyle w:val="CharAttribute1"/>
          <w:szCs w:val="22"/>
        </w:rPr>
        <w:t xml:space="preserve"> in</w:t>
      </w:r>
      <w:r w:rsidR="00A77DB3">
        <w:rPr>
          <w:rStyle w:val="CharAttribute1"/>
          <w:szCs w:val="22"/>
        </w:rPr>
        <w:t xml:space="preserve"> tubii renali</w:t>
      </w:r>
      <w:r>
        <w:rPr>
          <w:rStyle w:val="CharAttribute1"/>
          <w:szCs w:val="22"/>
        </w:rPr>
        <w:t xml:space="preserve"> </w:t>
      </w:r>
      <w:r w:rsidR="00A77DB3">
        <w:rPr>
          <w:rStyle w:val="CharAttribute1"/>
          <w:szCs w:val="22"/>
        </w:rPr>
        <w:t>[dar nu in medulara]</w:t>
      </w:r>
      <w:r>
        <w:rPr>
          <w:rStyle w:val="CharAttribute1"/>
          <w:szCs w:val="22"/>
        </w:rPr>
        <w:t xml:space="preserve"> se inactiveaza preponderent cea paterna</w:t>
      </w:r>
      <w:r w:rsidR="00A77DB3">
        <w:rPr>
          <w:rStyle w:val="CharAttribute1"/>
          <w:szCs w:val="22"/>
        </w:rPr>
        <w:t>. Inactivarea are loc in viata extrauterina. Mutatii homozigote sunt letale intrauterin.</w:t>
      </w:r>
    </w:p>
    <w:p w:rsidR="00A77DB3" w:rsidRDefault="00A77DB3" w:rsidP="004A53CE">
      <w:pPr>
        <w:pStyle w:val="ParaAttribute11"/>
        <w:wordWrap/>
        <w:spacing w:before="100" w:beforeAutospacing="1" w:after="100" w:afterAutospacing="1" w:line="276" w:lineRule="auto"/>
        <w:contextualSpacing/>
        <w:jc w:val="both"/>
        <w:rPr>
          <w:rStyle w:val="CharAttribute1"/>
          <w:szCs w:val="22"/>
        </w:rPr>
      </w:pPr>
      <w:r>
        <w:rPr>
          <w:rStyle w:val="CharAttribute1"/>
          <w:szCs w:val="22"/>
        </w:rPr>
        <w:t>Exista germline mozaicim</w:t>
      </w:r>
    </w:p>
    <w:p w:rsidR="00FD1DE5" w:rsidRDefault="00FD1DE5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2289"/>
        <w:gridCol w:w="4496"/>
        <w:gridCol w:w="3696"/>
      </w:tblGrid>
      <w:tr w:rsidR="00A50F35" w:rsidTr="004A53CE">
        <w:tc>
          <w:tcPr>
            <w:tcW w:w="1980" w:type="dxa"/>
          </w:tcPr>
          <w:p w:rsidR="00A50F35" w:rsidRDefault="00A50F35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pseudohipoPTH tip 1 a</w:t>
            </w:r>
          </w:p>
        </w:tc>
        <w:tc>
          <w:tcPr>
            <w:tcW w:w="4599" w:type="dxa"/>
          </w:tcPr>
          <w:p w:rsidR="004A53CE" w:rsidRDefault="00A50F35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Mutatii inactivatoare </w:t>
            </w:r>
            <w:r w:rsidR="004A53CE">
              <w:rPr>
                <w:rFonts w:ascii="Calibri" w:eastAsia="Calibri" w:hAnsi="Calibri"/>
                <w:sz w:val="22"/>
                <w:szCs w:val="22"/>
              </w:rPr>
              <w:t>GNAS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mostenit</w:t>
            </w:r>
            <w:r w:rsidR="00555964">
              <w:rPr>
                <w:rFonts w:ascii="Calibri" w:eastAsia="Calibri" w:hAnsi="Calibri"/>
                <w:sz w:val="22"/>
                <w:szCs w:val="22"/>
              </w:rPr>
              <w:t>a</w:t>
            </w:r>
            <w:r w:rsidR="004A53CE">
              <w:rPr>
                <w:rFonts w:ascii="Calibri" w:eastAsia="Calibri" w:hAnsi="Calibri"/>
                <w:sz w:val="22"/>
                <w:szCs w:val="22"/>
              </w:rPr>
              <w:t xml:space="preserve"> de la mama 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-&gt;</w:t>
            </w:r>
            <w:r w:rsidR="00A50F35">
              <w:rPr>
                <w:rFonts w:ascii="Calibri" w:eastAsia="Calibri" w:hAnsi="Calibri"/>
                <w:sz w:val="22"/>
                <w:szCs w:val="22"/>
              </w:rPr>
              <w:t xml:space="preserve"> activitate 50% in os -&gt; Osteodistrofie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-&gt; fara activitate in tub renal -&gt; hipocalcemie, hipocalciurie; PTH++; </w:t>
            </w:r>
          </w:p>
          <w:p w:rsidR="00A50F35" w:rsidRDefault="00A50F35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771" w:type="dxa"/>
          </w:tcPr>
          <w:p w:rsidR="00A50F35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Osteodistrofie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Hipocalcemie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Rezistenta la TSH – hipoTy [debuteaza anterior hipoCa] 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Rezistenta la gonadotropi – hipogonadism partial</w:t>
            </w:r>
          </w:p>
          <w:p w:rsidR="004A53CE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Deficit de crestere potential responsiv la GH</w:t>
            </w:r>
          </w:p>
        </w:tc>
      </w:tr>
      <w:tr w:rsidR="00A50F35" w:rsidTr="004A53CE">
        <w:tc>
          <w:tcPr>
            <w:tcW w:w="1980" w:type="dxa"/>
          </w:tcPr>
          <w:p w:rsidR="00A50F35" w:rsidRDefault="004A53CE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pseudohipoPTH tip 1b</w:t>
            </w:r>
          </w:p>
        </w:tc>
        <w:tc>
          <w:tcPr>
            <w:tcW w:w="4599" w:type="dxa"/>
          </w:tcPr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Mutatii in reginea reglatoare care determina pierderea metilarii alelei materne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in rinichi, dar este activa in os.</w:t>
            </w:r>
          </w:p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 novo sau AD</w:t>
            </w:r>
          </w:p>
          <w:p w:rsidR="004D0E9F" w:rsidRDefault="004A53CE" w:rsidP="004D0E9F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Rezistenta la PTH este strict renala. </w:t>
            </w:r>
          </w:p>
        </w:tc>
        <w:tc>
          <w:tcPr>
            <w:tcW w:w="3771" w:type="dxa"/>
          </w:tcPr>
          <w:p w:rsidR="00A50F35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Hipocalcemia cu hiperPTH determina modificari osoase de tip osteita fibroasa chistica [resorbtie osoasa; chiste osoase; tumori brune]</w:t>
            </w:r>
          </w:p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Rezistenta la TSH</w:t>
            </w:r>
          </w:p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Deficit statural</w:t>
            </w:r>
          </w:p>
        </w:tc>
      </w:tr>
      <w:tr w:rsidR="00A50F35" w:rsidTr="004A53CE">
        <w:tc>
          <w:tcPr>
            <w:tcW w:w="1980" w:type="dxa"/>
          </w:tcPr>
          <w:p w:rsidR="00A50F35" w:rsidRDefault="004D0E9F" w:rsidP="004D0E9F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pseudohipoPTH tip 1c</w:t>
            </w:r>
          </w:p>
        </w:tc>
        <w:tc>
          <w:tcPr>
            <w:tcW w:w="4599" w:type="dxa"/>
          </w:tcPr>
          <w:p w:rsidR="00A50F35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GNAS normala – defect in alta parte pe latul de sinteza a AMPc</w:t>
            </w:r>
          </w:p>
        </w:tc>
        <w:tc>
          <w:tcPr>
            <w:tcW w:w="3771" w:type="dxa"/>
          </w:tcPr>
          <w:p w:rsidR="00A50F35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Rezitente hormonale multiple</w:t>
            </w:r>
          </w:p>
        </w:tc>
      </w:tr>
      <w:tr w:rsidR="00A50F35" w:rsidTr="004A53CE">
        <w:tc>
          <w:tcPr>
            <w:tcW w:w="1980" w:type="dxa"/>
          </w:tcPr>
          <w:p w:rsidR="00A50F35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pseudohipoPTH tip 2 </w:t>
            </w:r>
          </w:p>
        </w:tc>
        <w:tc>
          <w:tcPr>
            <w:tcW w:w="4599" w:type="dxa"/>
          </w:tcPr>
          <w:p w:rsidR="00A50F35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Raspuns normal renal al AMPc dar lipsa de raspuns fosfaturic. </w:t>
            </w:r>
          </w:p>
        </w:tc>
        <w:tc>
          <w:tcPr>
            <w:tcW w:w="3771" w:type="dxa"/>
          </w:tcPr>
          <w:p w:rsidR="00A50F35" w:rsidRDefault="00A50F35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D0E9F" w:rsidTr="004A53CE">
        <w:tc>
          <w:tcPr>
            <w:tcW w:w="1980" w:type="dxa"/>
          </w:tcPr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pseudopseudohipoPTH</w:t>
            </w:r>
          </w:p>
        </w:tc>
        <w:tc>
          <w:tcPr>
            <w:tcW w:w="4599" w:type="dxa"/>
          </w:tcPr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Mutatie GNAS mostenita patern -&gt; activa in rinichi; la nivel osos – activitate 50%</w:t>
            </w:r>
          </w:p>
        </w:tc>
        <w:tc>
          <w:tcPr>
            <w:tcW w:w="3771" w:type="dxa"/>
          </w:tcPr>
          <w:p w:rsidR="004D0E9F" w:rsidRDefault="004D0E9F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Osteodistrofie Alpbright</w:t>
            </w:r>
            <w:r w:rsidR="00A77DB3">
              <w:rPr>
                <w:rFonts w:ascii="Calibri" w:eastAsia="Calibri" w:hAnsi="Calibri"/>
                <w:sz w:val="22"/>
                <w:szCs w:val="22"/>
              </w:rPr>
              <w:t>, cu mai putina obezitate si retard neurologic</w:t>
            </w:r>
          </w:p>
          <w:p w:rsidR="004D0E9F" w:rsidRDefault="00A77DB3" w:rsidP="004A53CE">
            <w:pPr>
              <w:pStyle w:val="ParaAttribute11"/>
              <w:wordWrap/>
              <w:spacing w:before="100" w:beforeAutospacing="1" w:after="100" w:afterAutospacing="1" w:line="276" w:lineRule="auto"/>
              <w:ind w:left="0"/>
              <w:contextualSpacing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Echilibru fosfocalcic normal</w:t>
            </w:r>
          </w:p>
        </w:tc>
      </w:tr>
    </w:tbl>
    <w:p w:rsidR="00A50F35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Hipocalcemie cu hiperPTH dar si hiperPO4 [dg dif cu HPTH sec deficitului de vitamina D care vine cu hipoPO4]</w:t>
      </w:r>
    </w:p>
    <w:p w:rsidR="00B44380" w:rsidRDefault="00B44380" w:rsidP="004A53CE">
      <w:pPr>
        <w:pStyle w:val="ParaAttribute11"/>
        <w:wordWrap/>
        <w:spacing w:before="100" w:beforeAutospacing="1" w:after="100" w:afterAutospacing="1"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In plus nu exista cresterea AMPc urinar dupa injectarea cu PTH</w:t>
      </w:r>
      <w:bookmarkStart w:id="0" w:name="_GoBack"/>
      <w:bookmarkEnd w:id="0"/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MUTATII RECEPTOR DE PTH – PTHR1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Pierdere de functie – condrodisplazia letala Blomstand -&gt; 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firstLine="1332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Nanism cu membre scurte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firstLine="1332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Malformatii cranio-faciale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firstLine="1332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Hidrops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firstLine="1332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Hipoplazie pulmonara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firstLine="1332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Coartatie de aorta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Prezinta o forma severa si o forma ai usoara cu mutatii partial inactivatoare</w:t>
      </w: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</w:p>
    <w:p w:rsidR="00E43169" w:rsidRDefault="00E43169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HIPOMAGNEZEMIA</w:t>
      </w:r>
    </w:p>
    <w:p w:rsidR="00CE65B3" w:rsidRDefault="00CE65B3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hipoMg determina scaderea secretiei de PTH si secundar hipocalcemie</w:t>
      </w:r>
    </w:p>
    <w:p w:rsidR="00CE65B3" w:rsidRDefault="00DC3955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mutatii in transportorul TRPM6 -&gt; hipomagnezemie severa cu hipocalcemie usoara de la nastere. Tratament cu doze mari de Magneziu si se remite si hipocalcemia</w:t>
      </w:r>
    </w:p>
    <w:p w:rsidR="000E60DA" w:rsidRDefault="000E60DA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</w:p>
    <w:p w:rsidR="000E60DA" w:rsidRDefault="000E60DA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TRATAMENT</w:t>
      </w:r>
    </w:p>
    <w:p w:rsidR="000E60DA" w:rsidRDefault="000E60DA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 w:rsidRPr="009F7A76">
        <w:rPr>
          <w:rFonts w:ascii="Calibri" w:eastAsia="Calibri" w:hAnsi="Calibri"/>
          <w:b/>
          <w:sz w:val="22"/>
          <w:szCs w:val="22"/>
        </w:rPr>
        <w:t>Acut</w:t>
      </w:r>
      <w:r>
        <w:rPr>
          <w:rFonts w:ascii="Calibri" w:eastAsia="Calibri" w:hAnsi="Calibri"/>
          <w:sz w:val="22"/>
          <w:szCs w:val="22"/>
        </w:rPr>
        <w:t xml:space="preserve"> – calciu inj</w:t>
      </w:r>
    </w:p>
    <w:p w:rsidR="000E60DA" w:rsidRDefault="000E60DA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Gluconat de calciu i</w:t>
      </w:r>
      <w:r w:rsidR="009F7A76">
        <w:rPr>
          <w:rFonts w:ascii="Calibri" w:eastAsia="Calibri" w:hAnsi="Calibri"/>
          <w:sz w:val="22"/>
          <w:szCs w:val="22"/>
        </w:rPr>
        <w:t>v</w:t>
      </w:r>
      <w:r>
        <w:rPr>
          <w:rFonts w:ascii="Calibri" w:eastAsia="Calibri" w:hAnsi="Calibri"/>
          <w:sz w:val="22"/>
          <w:szCs w:val="22"/>
        </w:rPr>
        <w:t xml:space="preserve"> [90 mg calciu elementar/fiola de 10 ml] –se administreaza 1-2 fiole diluate in 50-100 mml dextroza 5%, in 10 minute, repetat la nevoie.</w:t>
      </w:r>
    </w:p>
    <w:p w:rsidR="000E60DA" w:rsidRDefault="000E60DA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Perfuzie 0,5-2 mg/kgc/ora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Reactii adverse – aritmii; calcificari in t moi in caz de extravazare. 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Corectia hipomagnezemiei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b/>
          <w:sz w:val="22"/>
          <w:szCs w:val="22"/>
        </w:rPr>
      </w:pP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Cronic </w:t>
      </w:r>
      <w:r>
        <w:rPr>
          <w:rFonts w:ascii="Calibri" w:eastAsia="Calibri" w:hAnsi="Calibri"/>
          <w:sz w:val="22"/>
          <w:szCs w:val="22"/>
        </w:rPr>
        <w:t>– calciu si vitamina D</w:t>
      </w:r>
      <w:r w:rsidR="00AE74E8">
        <w:rPr>
          <w:rFonts w:ascii="Calibri" w:eastAsia="Calibri" w:hAnsi="Calibri"/>
          <w:sz w:val="22"/>
          <w:szCs w:val="22"/>
        </w:rPr>
        <w:t xml:space="preserve">. tratez obligatoriu daca Ca&lt;8 si eventual la pacientii asimptomatici cu Ca intre 8 si limita inf a normalului. 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 Carbonat de calciu 1-3 grame pe zi in doze impartite la masa[ 40% calciu elementar]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Scopul este de a mentine </w:t>
      </w:r>
      <w:r w:rsidRPr="00AE74E8">
        <w:rPr>
          <w:rFonts w:ascii="Calibri" w:eastAsia="Calibri" w:hAnsi="Calibri"/>
          <w:sz w:val="22"/>
          <w:szCs w:val="22"/>
          <w:u w:val="single"/>
        </w:rPr>
        <w:t>calciu low normal</w:t>
      </w:r>
      <w:r>
        <w:rPr>
          <w:rFonts w:ascii="Calibri" w:eastAsia="Calibri" w:hAnsi="Calibri"/>
          <w:sz w:val="22"/>
          <w:szCs w:val="22"/>
        </w:rPr>
        <w:t xml:space="preserve">, calciurie normala [ceck every year </w:t>
      </w:r>
      <w:r w:rsidRPr="00F65735">
        <w:rPr>
          <w:rFonts w:ascii="Calibri" w:eastAsia="Calibri" w:hAnsi="Calibri"/>
          <w:sz w:val="22"/>
          <w:szCs w:val="22"/>
          <w:u w:val="single"/>
        </w:rPr>
        <w:t xml:space="preserve">N&lt; </w:t>
      </w:r>
      <w:r w:rsidR="00F65735" w:rsidRPr="00F65735">
        <w:rPr>
          <w:rFonts w:ascii="Calibri" w:eastAsia="Calibri" w:hAnsi="Calibri"/>
          <w:sz w:val="22"/>
          <w:szCs w:val="22"/>
          <w:u w:val="single"/>
        </w:rPr>
        <w:t>4</w:t>
      </w:r>
      <w:r w:rsidRPr="00F65735">
        <w:rPr>
          <w:rFonts w:ascii="Calibri" w:eastAsia="Calibri" w:hAnsi="Calibri"/>
          <w:sz w:val="22"/>
          <w:szCs w:val="22"/>
          <w:u w:val="single"/>
        </w:rPr>
        <w:t xml:space="preserve"> mg/kgc/zi</w:t>
      </w:r>
      <w:r>
        <w:rPr>
          <w:rFonts w:ascii="Calibri" w:eastAsia="Calibri" w:hAnsi="Calibri"/>
          <w:sz w:val="22"/>
          <w:szCs w:val="22"/>
        </w:rPr>
        <w:t>, poate determina nefrocalcinoza; nefrolitiaza, IRC]</w:t>
      </w:r>
      <w:r w:rsidR="00AE74E8">
        <w:rPr>
          <w:rFonts w:ascii="Calibri" w:eastAsia="Calibri" w:hAnsi="Calibri"/>
          <w:sz w:val="22"/>
          <w:szCs w:val="22"/>
        </w:rPr>
        <w:t>; fosfor normal; produs fosfocalcic &lt;55 mg2/ml2</w:t>
      </w:r>
    </w:p>
    <w:p w:rsidR="00AE74E8" w:rsidRDefault="00AE74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 Calcitriol – 0.5 – 2 mcg/zi in doze impartite; daca folosim colecalciferol 50.000 -100.000 U/zi, intra in actiune in 3-4 saptamani</w:t>
      </w:r>
      <w:r w:rsidR="00AE74E8">
        <w:rPr>
          <w:rFonts w:ascii="Calibri" w:eastAsia="Calibri" w:hAnsi="Calibri"/>
          <w:sz w:val="22"/>
          <w:szCs w:val="22"/>
        </w:rPr>
        <w:t>. Daca folosesc calcitriol trebuie sa suplimentez si cu vitamina D ai 25OHD sa fie normal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# diuretice tiazidice </w:t>
      </w:r>
      <w:r w:rsidR="00B75F92">
        <w:rPr>
          <w:rFonts w:ascii="Calibri" w:eastAsia="Calibri" w:hAnsi="Calibri"/>
          <w:sz w:val="22"/>
          <w:szCs w:val="22"/>
        </w:rPr>
        <w:t>– hidroclorothiazida 50mg82/zi</w:t>
      </w:r>
      <w:r>
        <w:rPr>
          <w:rFonts w:ascii="Calibri" w:eastAsia="Calibri" w:hAnsi="Calibri"/>
          <w:sz w:val="22"/>
          <w:szCs w:val="22"/>
        </w:rPr>
        <w:t>– pt cresterea reasorbtiei de calciu</w:t>
      </w:r>
      <w:r w:rsidR="00AE74E8">
        <w:rPr>
          <w:rFonts w:ascii="Calibri" w:eastAsia="Calibri" w:hAnsi="Calibri"/>
          <w:sz w:val="22"/>
          <w:szCs w:val="22"/>
        </w:rPr>
        <w:t>. Similar scad aprortul de Na pt a scadea calciuria</w:t>
      </w:r>
    </w:p>
    <w:p w:rsidR="009F7A76" w:rsidRDefault="009F7A7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 PTH inj – daca nu pot controla cu ca si vit D. EXCEPTIE HIPOPARATIROIDISMUL AUTOZOMAL DOMINANT</w:t>
      </w:r>
      <w:r w:rsidR="0079331C">
        <w:rPr>
          <w:rFonts w:ascii="Calibri" w:eastAsia="Calibri" w:hAnsi="Calibri"/>
          <w:sz w:val="22"/>
          <w:szCs w:val="22"/>
        </w:rPr>
        <w:t xml:space="preserve"> – in acest caz PTH-ul nu rezolva problema renala de hipercalcemie</w:t>
      </w:r>
    </w:p>
    <w:p w:rsidR="0079331C" w:rsidRDefault="0079331C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#Calciolitice – antagonizeaza CaSR si determina secretie de PTH</w:t>
      </w:r>
    </w:p>
    <w:p w:rsidR="00AE74E8" w:rsidRDefault="00AE74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 magneziu pt a mentine magneziu in limite normale</w:t>
      </w:r>
      <w:r w:rsidR="00B75F92">
        <w:rPr>
          <w:rFonts w:ascii="Calibri" w:eastAsia="Calibri" w:hAnsi="Calibri"/>
          <w:sz w:val="22"/>
          <w:szCs w:val="22"/>
        </w:rPr>
        <w:t>. Amiloridul scade pierderile renale de Mg si K</w:t>
      </w:r>
    </w:p>
    <w:p w:rsidR="00F64BD6" w:rsidRDefault="00F64BD6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# hiperPO4 -&gt; scad apotul; cresc aportul de Ca care actioneaza ca un kelator</w:t>
      </w:r>
    </w:p>
    <w:p w:rsidR="00AE74E8" w:rsidRDefault="00AE74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</w:p>
    <w:p w:rsidR="00AE74E8" w:rsidRDefault="00AE74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Monitorizez la </w:t>
      </w:r>
      <w:r w:rsidR="00F64BD6">
        <w:rPr>
          <w:rFonts w:ascii="Calibri" w:eastAsia="Calibri" w:hAnsi="Calibri"/>
          <w:sz w:val="22"/>
          <w:szCs w:val="22"/>
        </w:rPr>
        <w:t>3-</w:t>
      </w:r>
      <w:r>
        <w:rPr>
          <w:rFonts w:ascii="Calibri" w:eastAsia="Calibri" w:hAnsi="Calibri"/>
          <w:sz w:val="22"/>
          <w:szCs w:val="22"/>
        </w:rPr>
        <w:t xml:space="preserve">6 luni </w:t>
      </w:r>
      <w:r w:rsidR="001F00BF">
        <w:rPr>
          <w:rFonts w:ascii="Calibri" w:eastAsia="Calibri" w:hAnsi="Calibri"/>
          <w:sz w:val="22"/>
          <w:szCs w:val="22"/>
        </w:rPr>
        <w:t xml:space="preserve">calciu IONIC </w:t>
      </w:r>
      <w:r>
        <w:rPr>
          <w:rFonts w:ascii="Calibri" w:eastAsia="Calibri" w:hAnsi="Calibri"/>
          <w:sz w:val="22"/>
          <w:szCs w:val="22"/>
        </w:rPr>
        <w:t>in conditii de echilibru si saptamanal dupa schimbare de terapie</w:t>
      </w:r>
      <w:r w:rsidR="007F2F58">
        <w:rPr>
          <w:rFonts w:ascii="Calibri" w:eastAsia="Calibri" w:hAnsi="Calibri"/>
          <w:sz w:val="22"/>
          <w:szCs w:val="22"/>
        </w:rPr>
        <w:t>. Anual complicatii [litiaza renala; cataracta etc]</w:t>
      </w:r>
      <w:r w:rsidR="00F64BD6">
        <w:rPr>
          <w:rFonts w:ascii="Calibri" w:eastAsia="Calibri" w:hAnsi="Calibri"/>
          <w:sz w:val="22"/>
          <w:szCs w:val="22"/>
        </w:rPr>
        <w:t>; calciurie</w:t>
      </w:r>
    </w:p>
    <w:p w:rsidR="007F2F58" w:rsidRDefault="007F2F5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La gravide tratez cu vitamina D activata si calciu; monitorizare la 1-3 saptamani; cand alapteaza gld mamara secreta PTHrP</w:t>
      </w:r>
    </w:p>
    <w:p w:rsidR="003917E8" w:rsidRDefault="003917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</w:p>
    <w:p w:rsidR="003917E8" w:rsidRDefault="003917E8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GRAVIDE SI POSTPARTUM CU HIPOPARATIROIDISM</w:t>
      </w:r>
    </w:p>
    <w:p w:rsidR="003917E8" w:rsidRDefault="00CF4F0F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In sarcina placenta sintetizeaza PTHrp; 1,25OHD – creste absorbtia de calciu intesitnal si renal + resobtie osoasa. Postpartum glada mamara ca</w:t>
      </w:r>
      <w:r w:rsidR="00570224">
        <w:rPr>
          <w:rFonts w:ascii="Calibri" w:eastAsia="Calibri" w:hAnsi="Calibri"/>
          <w:sz w:val="22"/>
          <w:szCs w:val="22"/>
        </w:rPr>
        <w:t>re alapteaza produce mult PTHrp – absorbtie renala; intestinala; osoasa pt a transfera prin lapte.</w:t>
      </w:r>
    </w:p>
    <w:p w:rsidR="00570224" w:rsidRDefault="00570224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Femeile cu hipoPTH sun la risc de hipo sau hiper calcemie – monitorizare frecventa</w:t>
      </w:r>
    </w:p>
    <w:p w:rsidR="00570224" w:rsidRDefault="00570224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Hipocalcemie materna – risc de hiperPTH compensator la nn cu hiperplazie de paratiroide; deformari de schelet; fx; greutate mica la nastere; nn mort; nastere prematura. La nastere prezinta dificultati de respiratie; hipotonie si dificultati de alimentatie</w:t>
      </w:r>
    </w:p>
    <w:p w:rsidR="00570224" w:rsidRPr="009F7A76" w:rsidRDefault="00570224" w:rsidP="00E43169">
      <w:pPr>
        <w:pStyle w:val="ParaAttribute11"/>
        <w:wordWrap/>
        <w:spacing w:before="100" w:beforeAutospacing="1" w:after="100" w:afterAutospacing="1" w:line="276" w:lineRule="auto"/>
        <w:ind w:left="0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Hipercalcemia materna determina hipoPTH fetal reactiv, cu hipocalcemii neonatale</w:t>
      </w:r>
    </w:p>
    <w:sectPr w:rsidR="00570224" w:rsidRPr="009F7A76" w:rsidSect="00A50F35">
      <w:pgSz w:w="12240" w:h="15840"/>
      <w:pgMar w:top="810" w:right="1417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5633915"/>
    <w:lvl w:ilvl="0" w:tplc="003A1E1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1" w:tplc="9AC4E38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2" w:tplc="34ECBDF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3" w:tplc="F48E86B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4" w:tplc="3A288BB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5" w:tplc="CA6C076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6" w:tplc="CFBCD9B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7" w:tplc="69B247C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8" w:tplc="43EE560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</w:abstractNum>
  <w:abstractNum w:abstractNumId="1">
    <w:nsid w:val="00000001"/>
    <w:multiLevelType w:val="hybridMultilevel"/>
    <w:tmpl w:val="19848256"/>
    <w:lvl w:ilvl="0" w:tplc="61E61C1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1" w:tplc="22A68CA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2" w:tplc="36C8E70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3" w:tplc="7926162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4" w:tplc="519AF62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5" w:tplc="43D47BF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6" w:tplc="CED6898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7" w:tplc="617AEBD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8" w:tplc="597A141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</w:abstractNum>
  <w:abstractNum w:abstractNumId="2">
    <w:nsid w:val="125218FF"/>
    <w:multiLevelType w:val="hybridMultilevel"/>
    <w:tmpl w:val="7CCE569A"/>
    <w:lvl w:ilvl="0" w:tplc="5C3825B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A22AC2"/>
    <w:rsid w:val="000E60DA"/>
    <w:rsid w:val="001D74C1"/>
    <w:rsid w:val="001F00BF"/>
    <w:rsid w:val="002D15DD"/>
    <w:rsid w:val="002F407F"/>
    <w:rsid w:val="003917E8"/>
    <w:rsid w:val="004A53CE"/>
    <w:rsid w:val="004D0E9F"/>
    <w:rsid w:val="00555964"/>
    <w:rsid w:val="00570224"/>
    <w:rsid w:val="005E358D"/>
    <w:rsid w:val="0079331C"/>
    <w:rsid w:val="007F2F58"/>
    <w:rsid w:val="009C3E85"/>
    <w:rsid w:val="009F7A76"/>
    <w:rsid w:val="00A22AC2"/>
    <w:rsid w:val="00A50F35"/>
    <w:rsid w:val="00A77DB3"/>
    <w:rsid w:val="00AE74E8"/>
    <w:rsid w:val="00B44380"/>
    <w:rsid w:val="00B75F92"/>
    <w:rsid w:val="00BC5CBC"/>
    <w:rsid w:val="00CE65B3"/>
    <w:rsid w:val="00CF4F0F"/>
    <w:rsid w:val="00DC3955"/>
    <w:rsid w:val="00E43169"/>
    <w:rsid w:val="00EE74A4"/>
    <w:rsid w:val="00F64BD6"/>
    <w:rsid w:val="00F65735"/>
    <w:rsid w:val="00FD1DE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ordWrap w:val="0"/>
      <w:spacing w:after="200"/>
    </w:pPr>
  </w:style>
  <w:style w:type="paragraph" w:customStyle="1" w:styleId="ParaAttribute4">
    <w:name w:val="ParaAttribute4"/>
    <w:pPr>
      <w:widowControl w:val="0"/>
      <w:wordWrap w:val="0"/>
      <w:spacing w:after="200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wordWrap w:val="0"/>
      <w:ind w:left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ordWrap w:val="0"/>
    </w:pPr>
  </w:style>
  <w:style w:type="paragraph" w:customStyle="1" w:styleId="ParaAttribute9">
    <w:name w:val="ParaAttribute9"/>
    <w:pPr>
      <w:wordWrap w:val="0"/>
      <w:ind w:left="720"/>
    </w:pPr>
  </w:style>
  <w:style w:type="paragraph" w:customStyle="1" w:styleId="ParaAttribute10">
    <w:name w:val="ParaAttribute10"/>
    <w:pPr>
      <w:wordWrap w:val="0"/>
      <w:spacing w:after="200"/>
      <w:ind w:left="-612"/>
    </w:pPr>
  </w:style>
  <w:style w:type="paragraph" w:customStyle="1" w:styleId="ParaAttribute11">
    <w:name w:val="ParaAttribute11"/>
    <w:pPr>
      <w:wordWrap w:val="0"/>
      <w:spacing w:after="200"/>
      <w:ind w:left="-612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sz w:val="22"/>
    </w:rPr>
  </w:style>
  <w:style w:type="character" w:customStyle="1" w:styleId="CharAttribute1">
    <w:name w:val="CharAttribute1"/>
    <w:rPr>
      <w:rFonts w:ascii="Calibri" w:eastAsia="Calibri"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i/>
      <w:sz w:val="22"/>
    </w:rPr>
  </w:style>
  <w:style w:type="character" w:customStyle="1" w:styleId="CharAttribute4">
    <w:name w:val="CharAttribute4"/>
    <w:rPr>
      <w:rFonts w:ascii="Calibri" w:eastAsia="Calibri"/>
      <w:i/>
      <w:sz w:val="22"/>
    </w:rPr>
  </w:style>
  <w:style w:type="character" w:customStyle="1" w:styleId="CharAttribute5">
    <w:name w:val="CharAttribute5"/>
    <w:rPr>
      <w:rFonts w:ascii="Calibri" w:eastAsia="Calibri"/>
    </w:rPr>
  </w:style>
  <w:style w:type="character" w:customStyle="1" w:styleId="CharAttribute6">
    <w:name w:val="CharAttribute6"/>
    <w:rPr>
      <w:rFonts w:ascii="Calibri" w:eastAsia="Calibri"/>
      <w:sz w:val="22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libri" w:eastAsia="Calibri"/>
      <w:sz w:val="22"/>
    </w:rPr>
  </w:style>
  <w:style w:type="character" w:customStyle="1" w:styleId="CharAttribute9">
    <w:name w:val="CharAttribute9"/>
    <w:rPr>
      <w:rFonts w:ascii="Times New Roman" w:eastAsia="Batang"/>
    </w:rPr>
  </w:style>
  <w:style w:type="character" w:customStyle="1" w:styleId="CharAttribute10">
    <w:name w:val="CharAttribute10"/>
    <w:rPr>
      <w:rFonts w:ascii="Calibri" w:eastAsia="Calibri"/>
      <w:sz w:val="22"/>
    </w:rPr>
  </w:style>
  <w:style w:type="character" w:customStyle="1" w:styleId="CharAttribute11">
    <w:name w:val="CharAttribute11"/>
    <w:rPr>
      <w:rFonts w:ascii="Calibri" w:eastAsia="Calibri"/>
      <w:sz w:val="22"/>
    </w:rPr>
  </w:style>
  <w:style w:type="table" w:styleId="TableGrid">
    <w:name w:val="Table Grid"/>
    <w:basedOn w:val="TableNormal"/>
    <w:uiPriority w:val="59"/>
    <w:rsid w:val="00A50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ordWrap w:val="0"/>
      <w:spacing w:after="200"/>
    </w:pPr>
  </w:style>
  <w:style w:type="paragraph" w:customStyle="1" w:styleId="ParaAttribute4">
    <w:name w:val="ParaAttribute4"/>
    <w:pPr>
      <w:widowControl w:val="0"/>
      <w:wordWrap w:val="0"/>
      <w:spacing w:after="200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wordWrap w:val="0"/>
      <w:ind w:left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ordWrap w:val="0"/>
    </w:pPr>
  </w:style>
  <w:style w:type="paragraph" w:customStyle="1" w:styleId="ParaAttribute9">
    <w:name w:val="ParaAttribute9"/>
    <w:pPr>
      <w:wordWrap w:val="0"/>
      <w:ind w:left="720"/>
    </w:pPr>
  </w:style>
  <w:style w:type="paragraph" w:customStyle="1" w:styleId="ParaAttribute10">
    <w:name w:val="ParaAttribute10"/>
    <w:pPr>
      <w:wordWrap w:val="0"/>
      <w:spacing w:after="200"/>
      <w:ind w:left="-612"/>
    </w:pPr>
  </w:style>
  <w:style w:type="paragraph" w:customStyle="1" w:styleId="ParaAttribute11">
    <w:name w:val="ParaAttribute11"/>
    <w:pPr>
      <w:wordWrap w:val="0"/>
      <w:spacing w:after="200"/>
      <w:ind w:left="-612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sz w:val="22"/>
    </w:rPr>
  </w:style>
  <w:style w:type="character" w:customStyle="1" w:styleId="CharAttribute1">
    <w:name w:val="CharAttribute1"/>
    <w:rPr>
      <w:rFonts w:ascii="Calibri" w:eastAsia="Calibri"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i/>
      <w:sz w:val="22"/>
    </w:rPr>
  </w:style>
  <w:style w:type="character" w:customStyle="1" w:styleId="CharAttribute4">
    <w:name w:val="CharAttribute4"/>
    <w:rPr>
      <w:rFonts w:ascii="Calibri" w:eastAsia="Calibri"/>
      <w:i/>
      <w:sz w:val="22"/>
    </w:rPr>
  </w:style>
  <w:style w:type="character" w:customStyle="1" w:styleId="CharAttribute5">
    <w:name w:val="CharAttribute5"/>
    <w:rPr>
      <w:rFonts w:ascii="Calibri" w:eastAsia="Calibri"/>
    </w:rPr>
  </w:style>
  <w:style w:type="character" w:customStyle="1" w:styleId="CharAttribute6">
    <w:name w:val="CharAttribute6"/>
    <w:rPr>
      <w:rFonts w:ascii="Calibri" w:eastAsia="Calibri"/>
      <w:sz w:val="22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libri" w:eastAsia="Calibri"/>
      <w:sz w:val="22"/>
    </w:rPr>
  </w:style>
  <w:style w:type="character" w:customStyle="1" w:styleId="CharAttribute9">
    <w:name w:val="CharAttribute9"/>
    <w:rPr>
      <w:rFonts w:ascii="Times New Roman" w:eastAsia="Batang"/>
    </w:rPr>
  </w:style>
  <w:style w:type="character" w:customStyle="1" w:styleId="CharAttribute10">
    <w:name w:val="CharAttribute10"/>
    <w:rPr>
      <w:rFonts w:ascii="Calibri" w:eastAsia="Calibri"/>
      <w:sz w:val="22"/>
    </w:rPr>
  </w:style>
  <w:style w:type="character" w:customStyle="1" w:styleId="CharAttribute11">
    <w:name w:val="CharAttribute11"/>
    <w:rPr>
      <w:rFonts w:ascii="Calibri" w:eastAsia="Calibri"/>
      <w:sz w:val="22"/>
    </w:rPr>
  </w:style>
  <w:style w:type="table" w:styleId="TableGrid">
    <w:name w:val="Table Grid"/>
    <w:basedOn w:val="TableNormal"/>
    <w:uiPriority w:val="59"/>
    <w:rsid w:val="00A50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5</Pages>
  <Words>1542</Words>
  <Characters>8793</Characters>
  <Application>Microsoft Office Word</Application>
  <DocSecurity>0</DocSecurity>
  <Lines>73</Lines>
  <Paragraphs>20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TEAM OS</Company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20</cp:revision>
  <dcterms:created xsi:type="dcterms:W3CDTF">2018-03-11T06:26:00Z</dcterms:created>
  <dcterms:modified xsi:type="dcterms:W3CDTF">2018-03-12T19:03:00Z</dcterms:modified>
</cp:coreProperties>
</file>