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>RAHITISM/OSTEOMALACIE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CALCIU/VITAMINA D DEPENDENTE – hipoCa; hipoPO4; PTH+; calciurie -; fosf alc crescuta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FOSFOR DEPENDENTE – calciu normal; calciurie scazuta/crescuta; </w:t>
      </w:r>
      <w:r>
        <w:rPr>
          <w:rStyle w:val="Character5"/>
          <w:sz w:val="22"/>
          <w:szCs w:val="22"/>
        </w:rPr>
        <w:t>hipoPO4</w:t>
      </w:r>
      <w:r>
        <w:rPr>
          <w:rStyle w:val="Character1"/>
          <w:sz w:val="22"/>
          <w:szCs w:val="22"/>
        </w:rPr>
        <w:t xml:space="preserve">; PTH normal; fosf alc crescuta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HIPOFOSFATASEMIE – cu homeostazie minerala normala – Ca, Cau – normale; PO4 – normal; PTH normal</w:t>
      </w:r>
      <w:r>
        <w:rPr>
          <w:rStyle w:val="Character5"/>
          <w:sz w:val="22"/>
          <w:szCs w:val="22"/>
        </w:rPr>
        <w:t xml:space="preserve">; fosf alc </w:t>
      </w:r>
      <w:r>
        <w:rPr>
          <w:rStyle w:val="Character5"/>
          <w:sz w:val="22"/>
          <w:szCs w:val="22"/>
        </w:rPr>
        <w:t>scazuta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RAHITISM/OSTEOMALACIE VITAMINA D DEPENDENTE</w:t>
      </w:r>
    </w:p>
    <w:tbl>
      <w:tblPr>
        <w:tblStyle w:val="Default Table"/>
        <w:tblCellMar w:top="0" w:left="108" w:bottom="0" w:right="108"/>
        <w:tblW w:w="11088" w:type="auto"/>
        <w:tblLook w:val="0000"/>
      </w:tblPr>
      <w:tblGrid>
        <w:gridCol w:w="11088"/>
      </w:tblGrid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Efect vitamina D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4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Absorbie de calciu intestinal prin stimulare de TRPV6; calbindina; CaATPaza</w:t>
            </w:r>
          </w:p>
          <w:p>
            <w:pPr>
              <w:pStyle w:val="a3"/>
              <w:numPr>
                <w:ilvl w:val="0"/>
                <w:numId w:val="5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Reabsorbie renala de Ca (+/- PO4) prin stimulare TRPV5; calbindina; CaATPaza</w:t>
            </w:r>
          </w:p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Absorbie fosfor intestinal prin stimulare NaPi II</w:t>
            </w:r>
          </w:p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Reabsorbie renala +/- PO4 prin stimulare </w:t>
            </w:r>
          </w:p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Scadere secr PTH (direct + prin cresterea expresiei CaSR)</w:t>
            </w:r>
          </w:p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Determina diferentierea condrocitelor hipertrofice in osteoblaste </w:t>
            </w:r>
          </w:p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stimularea sistemului RANKL stimuleaza osteoclastele</w:t>
            </w:r>
          </w:p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in caz de deficit avem scaderea apoptozei condrocitelor hipertrofice care se acumuleaza; cu o zona hipertrofica </w:t>
            </w:r>
            <w:r>
              <w:rPr>
                <w:rStyle w:val="Character1"/>
                <w:sz w:val="22"/>
                <w:szCs w:val="22"/>
              </w:rPr>
              <w:t>extinsa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creste sinteza de FGF23; la randul lui FGF 23 scade 1 alpha hidroxilaza renala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creste secretia de insulina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stimuleaza raspunsul imun nespecific, necesar de ex antiTBC</w:t>
            </w:r>
          </w:p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scade raspunsul imun dobandit, prin stimulare leucocite Th2 in defavoare Th1, TH17; </w:t>
            </w:r>
          </w:p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inhiba activitatea cel dendritice care se ocupa cu prezentarea de antigene --&gt; efect favorabil in autoimunitate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determina sinteza de inibitori ai ciclului celular si a moleculelor de adezivitate -&gt; rol preventiv antineoplazic  [san, </w:t>
            </w:r>
            <w:r>
              <w:rPr>
                <w:rStyle w:val="Character1"/>
                <w:sz w:val="22"/>
                <w:szCs w:val="22"/>
              </w:rPr>
              <w:t xml:space="preserve">colon, ? prostata], dar fara rezultate spectaculoase pe vindecare</w:t>
            </w:r>
          </w:p>
        </w:tc>
      </w:tr>
      <w:tr>
        <w:tc>
          <w:tcPr>
            <w:tcW w:w="110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determina maturarea keratocitelor. Acestea prezinta toate enzimele necesare sintezei vitaminei D. trt in psoriazis</w:t>
            </w:r>
          </w:p>
        </w:tc>
      </w:tr>
    </w:tbl>
    <w:p>
      <w:pPr>
        <w:pStyle w:val="Para7"/>
        <w:spacing w:line="276" w:lineRule="auto" w:after="200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Endoped Timisoara 2017</w:t>
      </w:r>
    </w:p>
    <w:p>
      <w:pPr>
        <w:pStyle w:val="Para8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Vitamina D scade anxietatea, insomniile, episoadele de depresie</w:t>
      </w: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Are 3 transportori, din fam AFP. In functie de izoforma - sensibilitatea la deficit. </w:t>
      </w: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Rol in cresterea IL4 -&gt; scade autoimunitatea. </w:t>
      </w: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Deficit de vitamina D la gravida - riscc crescut de DZ1 la copil. DEficit de vitamina D la copil - risc de DZ1. in plus deficitul de vit D la </w:t>
      </w:r>
      <w:r>
        <w:rPr>
          <w:rStyle w:val="Character12"/>
        </w:rPr>
        <w:t xml:space="preserve">oc cu dz determina risc mai mare de complicatii. </w:t>
      </w:r>
    </w:p>
    <w:p>
      <w:pPr>
        <w:pStyle w:val="Para8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Este implicata in aparitia de DZ2 prin rez la insulina. HiperPTH SEC det modificari pe metab calciu cu rez la insulina si scaderea secr de </w:t>
      </w:r>
      <w:r>
        <w:rPr>
          <w:rStyle w:val="Character12"/>
        </w:rPr>
        <w:t xml:space="preserve">insulina. </w:t>
      </w:r>
    </w:p>
    <w:p>
      <w:pPr>
        <w:pStyle w:val="Para8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Deficitul determina inflamatie cronica prin scaderea (??) TNFa, IL6. </w:t>
      </w:r>
    </w:p>
    <w:p>
      <w:pPr>
        <w:pStyle w:val="Para8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Posibil legata in mod invers de dermatita atopica - suplimetarea excesiva determina agravarea bolii</w:t>
      </w:r>
    </w:p>
    <w:p>
      <w:pPr>
        <w:pStyle w:val="Para8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0"/>
        <w:spacing w:line="294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2"/>
        </w:rPr>
        <w:t xml:space="preserve">Boala inflamatorie intestinala, LES sunt mai frecvente la pc cu deficit de vitamina D. </w:t>
      </w:r>
    </w:p>
    <w:p>
      <w:pPr>
        <w:pStyle w:val="Para10"/>
        <w:spacing w:line="294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2"/>
        </w:rPr>
        <w:t xml:space="preserve">Creste riscul de bolii CV prin implicarea in sistemul renina-angiotensinogen. </w:t>
      </w:r>
    </w:p>
    <w:p>
      <w:pPr>
        <w:pStyle w:val="Para11"/>
        <w:spacing w:line="294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1"/>
        <w:spacing w:line="294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Hipocalcemie --&gt; HPTH secundar --&gt; hiperfosfaturie --&gt; hipofosfatemie --&gt; mineralizare defectuasa a matricei osoase, mai </w:t>
      </w:r>
      <w:r>
        <w:rPr>
          <w:rStyle w:val="Character1"/>
          <w:sz w:val="22"/>
          <w:szCs w:val="22"/>
        </w:rPr>
        <w:t xml:space="preserve">ales la nivelul osului nou format (cartilaj de crestere = rahitism; unitatea de remodelare = osteomalacie). Afectate mai ales </w:t>
      </w:r>
      <w:r>
        <w:rPr>
          <w:rStyle w:val="Character1"/>
          <w:sz w:val="22"/>
          <w:szCs w:val="22"/>
        </w:rPr>
        <w:t xml:space="preserve">oasele cu crestere rapida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Clinic – slabiciune; - miopatie proximala; letargie dureri musculare; deformari osoase; fx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In formele congenitale – debuteaza in primii 2 ani de viata (normali la nastere)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In primul an de viata – afectate mai ales  </w:t>
      </w:r>
    </w:p>
    <w:p>
      <w:pPr>
        <w:pStyle w:val="a3"/>
        <w:numPr>
          <w:ilvl w:val="0"/>
          <w:numId w:val="7"/>
        </w:numPr>
        <w:jc w:val="left"/>
        <w:spacing w:line="276" w:lineRule="auto" w:after="200"/>
        <w:contextualSpacing w:val="1"/>
        <w:ind w:left="615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Craniu -&gt; bose frontale; craniotabes (craniu plat posteror); suturi largi; fontanele mari; eruptii dentare intarziate</w:t>
      </w:r>
    </w:p>
    <w:p>
      <w:pPr>
        <w:pStyle w:val="a3"/>
        <w:numPr>
          <w:ilvl w:val="0"/>
          <w:numId w:val="8"/>
        </w:numPr>
        <w:jc w:val="left"/>
        <w:spacing w:line="276" w:lineRule="auto" w:after="200"/>
        <w:contextualSpacing w:val="1"/>
        <w:ind w:left="615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Coaste -&gt; matanii rahitice; santul Harrison</w:t>
      </w:r>
    </w:p>
    <w:p>
      <w:pPr>
        <w:pStyle w:val="a3"/>
        <w:numPr>
          <w:ilvl w:val="0"/>
          <w:numId w:val="9"/>
        </w:numPr>
        <w:jc w:val="left"/>
        <w:spacing w:line="276" w:lineRule="auto" w:after="200"/>
        <w:contextualSpacing w:val="1"/>
        <w:ind w:left="615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Maini – bratari rahitice</w:t>
      </w:r>
    </w:p>
    <w:p>
      <w:pPr>
        <w:pStyle w:val="a3"/>
        <w:numPr>
          <w:ilvl w:val="0"/>
          <w:numId w:val="9"/>
        </w:numPr>
        <w:jc w:val="left"/>
        <w:spacing w:line="276" w:lineRule="auto" w:after="200"/>
        <w:contextualSpacing w:val="1"/>
        <w:ind w:left="615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Slabiciune musculara – intarziere in achizitii motorii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Dupa 1 an – afectare oase de suport – deformari mb inferioare – genu valgum [X]; genu varum [()]; afectarea taliei finale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Adult- dureri osoase; miopatie; fracturi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 xml:space="preserve">Radiologic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Esecul cartilajului de crestere sa se osifice --&gt; metafize latite, neregulate; concave, disparute in cazuri grave.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In cazuri grave subtierea corticalei; deformari osoase; fracturi in lemn verde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La adulti -  scaderea BMD; pseudofracturi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hiperPTH determina resobtie subperiostala si chiste osoase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>histopatologic</w:t>
      </w:r>
      <w:r>
        <w:rPr>
          <w:rStyle w:val="Character1"/>
          <w:sz w:val="22"/>
          <w:szCs w:val="22"/>
        </w:rPr>
        <w:t xml:space="preserve"> – exces de coloid neosificat; front de mineralizare neregulat; nu capteaza bine tetraciclina [normal – 2 </w:t>
      </w:r>
      <w:r>
        <w:rPr>
          <w:rStyle w:val="Character1"/>
          <w:sz w:val="22"/>
          <w:szCs w:val="22"/>
        </w:rPr>
        <w:t xml:space="preserve">fronturi de osificare;  in rahitism – 1 front lat sau fara captare]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paraclinic: calciu &lt;; calciurie &lt;; fosfatemie &lt;; fosfaturie +; PTH +; fosfataza alcalina +; osteocalcina +; 25 OHD --, 1,25OHD N.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Deficienta de vit D</w:t>
      </w:r>
    </w:p>
    <w:p>
      <w:pPr>
        <w:pStyle w:val="a3"/>
        <w:numPr>
          <w:ilvl w:val="0"/>
          <w:numId w:val="10"/>
        </w:numPr>
        <w:jc w:val="left"/>
        <w:spacing w:line="276" w:lineRule="auto" w:after="200"/>
        <w:contextualSpacing w:val="1"/>
        <w:ind w:left="108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deficit de aport</w:t>
      </w:r>
    </w:p>
    <w:p>
      <w:pPr>
        <w:pStyle w:val="a3"/>
        <w:numPr>
          <w:ilvl w:val="0"/>
          <w:numId w:val="11"/>
        </w:numPr>
        <w:jc w:val="left"/>
        <w:spacing w:line="276" w:lineRule="auto" w:after="200"/>
        <w:contextualSpacing w:val="1"/>
        <w:ind w:left="108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deficit de metabolizare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# innascut 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>Simplu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 xml:space="preserve">Complex  Fanconi; Acidoza tubulara renala; exces de FGF23 prin mutatii FGF23/klotho                                                  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# dobandit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>Simplu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 xml:space="preserve">Complex   Ex – insuficienta renala; Fanconi dobandit; osteomalacie tumorala                                               </w:t>
      </w:r>
    </w:p>
    <w:p>
      <w:pPr>
        <w:pStyle w:val="a3"/>
        <w:numPr>
          <w:ilvl w:val="0"/>
          <w:numId w:val="12"/>
        </w:numPr>
        <w:jc w:val="left"/>
        <w:spacing w:line="276" w:lineRule="auto" w:after="200"/>
        <w:contextualSpacing w:val="1"/>
        <w:ind w:left="108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exces de catabolizare/pierdere – trt cu fenobarbiturice; antiepileptice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# innascut                                                       # dobandit</w:t>
      </w:r>
    </w:p>
    <w:p>
      <w:pPr>
        <w:pStyle w:val="Para1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# simplu                                                          # complex – nefropatie cu pierdere de proteine;</w:t>
      </w:r>
    </w:p>
    <w:p>
      <w:pPr>
        <w:pStyle w:val="a3"/>
        <w:numPr>
          <w:ilvl w:val="0"/>
          <w:numId w:val="13"/>
        </w:numPr>
        <w:jc w:val="left"/>
        <w:spacing w:line="276" w:lineRule="auto" w:after="200"/>
        <w:contextualSpacing w:val="1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Rezistenta de vit D</w:t>
      </w:r>
    </w:p>
    <w:tbl>
      <w:tblPr>
        <w:tblStyle w:val="Default Table"/>
        <w:tblCellMar w:top="0" w:left="108" w:bottom="0" w:right="108"/>
        <w:tblW w:w="10980" w:type="auto"/>
        <w:tblInd w:w="108" w:type="dxa"/>
        <w:tblLook w:val="0000"/>
      </w:tblPr>
      <w:tblGrid>
        <w:gridCol w:w="3510"/>
        <w:gridCol w:w="4500"/>
        <w:gridCol w:w="2970"/>
      </w:tblGrid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Vitamina D alimentara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Sinteza cutanata de D (UV)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3"/>
              <w:numPr>
                <w:ilvl w:val="0"/>
                <w:numId w:val="14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Deficit  nutritional </w:t>
            </w:r>
          </w:p>
          <w:p>
            <w:pPr>
              <w:pStyle w:val="a3"/>
              <w:numPr>
                <w:ilvl w:val="0"/>
                <w:numId w:val="15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Malabosbtie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Lipsa de expunere la soare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Pierderi intestinale sau renale</w:t>
            </w: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25 OH D scazut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4"/>
                <w:color w:val="FF0000"/>
                <w:sz w:val="22"/>
                <w:szCs w:val="22"/>
              </w:rPr>
              <w:t xml:space="preserve">Trt: D3/D2 pana 4000U/zi apoi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doza de intretinere;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zilnic/saptamanal; lunar</w:t>
            </w:r>
          </w:p>
        </w:tc>
      </w:tr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i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6"/>
                <w:i/>
              </w:rPr>
              <w:t xml:space="preserve">1 hidroxilaza hepatica (CYP 27A1 </w:t>
            </w:r>
            <w:r>
              <w:rPr>
                <w:rStyle w:val="Character26"/>
                <w:i/>
              </w:rPr>
              <w:t xml:space="preserve">mitocondrial + CYP2R1 microzomal)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25 OH D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i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6"/>
                <w:i/>
              </w:rPr>
              <w:t xml:space="preserve">25 hidroxilaza renala (+ cutanata + </w:t>
            </w:r>
            <w:r>
              <w:rPr>
                <w:rStyle w:val="Character26"/>
                <w:i/>
              </w:rPr>
              <w:t xml:space="preserve">leucocite/Mfage)- CYP27B1 </w:t>
            </w:r>
            <w:r>
              <w:rPr>
                <w:rStyle w:val="Character26"/>
                <w:i/>
              </w:rPr>
              <w:t>mitocondrial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8"/>
                <w:b/>
                <w:sz w:val="22"/>
                <w:szCs w:val="22"/>
              </w:rPr>
              <w:t xml:space="preserve">Deficit de 1,25 OHD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Deficit inascut de 25 hidroxilaza -&gt; ar; 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Deficit dobandit, de obicei complex – </w:t>
            </w:r>
            <w:r>
              <w:rPr>
                <w:rStyle w:val="Character1"/>
                <w:sz w:val="22"/>
                <w:szCs w:val="22"/>
              </w:rPr>
              <w:t xml:space="preserve">insuficienta renala; Fanconi; hipoPTH</w:t>
            </w: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25 OH D normal/crescut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color w:val="FF0000"/>
                <w:rFonts w:ascii="" w:eastAsia="" w:hAnsi="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1,25OHD scazut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color w:val="FF0000"/>
                <w:rFonts w:ascii="" w:eastAsia="" w:hAnsi="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4"/>
                <w:color w:val="FF0000"/>
                <w:sz w:val="22"/>
                <w:szCs w:val="22"/>
              </w:rPr>
              <w:t xml:space="preserve">Trt: doze suprafiziologice (100-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300*)de vitamina D sau doza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fiziologice de 1,25OHD. </w:t>
            </w:r>
          </w:p>
          <w:p>
            <w:pPr>
              <w:pStyle w:val="Para3"/>
              <w:spacing w:line="240" w:lineRule="auto"/>
              <w:ind w:left="0" w:hanging="0"/>
              <w:rPr>
                <w:sz w:val="18"/>
                <w:szCs w:val="18"/>
                <w:sz w:val="18"/>
                <w:szCs w:val="18"/>
                <w:rFonts w:ascii="Calibri" w:eastAsia="Calibri" w:hAnsi="Calibri"/>
              </w:rPr>
            </w:pPr>
            <w:r>
              <w:rPr>
                <w:rStyle w:val="Character30"/>
                <w:sz w:val="18"/>
                <w:szCs w:val="18"/>
              </w:rPr>
              <w:t xml:space="preserve">Se presupune ca dozele f mari de 25 </w:t>
            </w:r>
            <w:r>
              <w:rPr>
                <w:rStyle w:val="Character30"/>
                <w:sz w:val="18"/>
                <w:szCs w:val="18"/>
              </w:rPr>
              <w:t xml:space="preserve">OHD stimuleaza direct VDR sau se </w:t>
            </w:r>
            <w:r>
              <w:rPr>
                <w:rStyle w:val="Character30"/>
                <w:sz w:val="18"/>
                <w:szCs w:val="18"/>
              </w:rPr>
              <w:t xml:space="preserve">formeaza 1,25 OHD paracrin</w:t>
            </w:r>
          </w:p>
        </w:tc>
      </w:tr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1, 25 (OH)2 D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35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i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31"/>
                <w:i/>
                <w:sz w:val="22"/>
                <w:szCs w:val="22"/>
              </w:rPr>
              <w:t xml:space="preserve">VDR -&gt;  </w:t>
            </w:r>
            <w:r>
              <w:rPr>
                <w:rStyle w:val="Character31"/>
                <w:i/>
                <w:sz w:val="22"/>
                <w:szCs w:val="22"/>
              </w:rPr>
              <w:t xml:space="preserve">dimerizare/heterodimerizare cu RXR </w:t>
            </w:r>
            <w:r>
              <w:rPr>
                <w:rStyle w:val="Character31"/>
                <w:i/>
                <w:sz w:val="22"/>
                <w:szCs w:val="22"/>
              </w:rPr>
              <w:t xml:space="preserve">-&gt; legare de VDRE si transcriptie de </w:t>
            </w:r>
            <w:r>
              <w:rPr>
                <w:rStyle w:val="Character31"/>
                <w:i/>
                <w:sz w:val="22"/>
                <w:szCs w:val="22"/>
              </w:rPr>
              <w:t>gene</w:t>
            </w:r>
          </w:p>
        </w:tc>
        <w:tc>
          <w:tcPr>
            <w:tcW w:w="45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8"/>
                <w:b/>
                <w:sz w:val="22"/>
                <w:szCs w:val="22"/>
              </w:rPr>
              <w:t xml:space="preserve">Rezistenta la 1,25OHD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Autozomal recesiva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Rara; debut in copilarie; rare cazuri cu </w:t>
            </w:r>
            <w:r>
              <w:rPr>
                <w:rStyle w:val="Character1"/>
                <w:sz w:val="22"/>
                <w:szCs w:val="22"/>
              </w:rPr>
              <w:t xml:space="preserve">debut la adult. Frecvent cosangvinitate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Asociaza alopecie totala sau sparse hair </w:t>
            </w:r>
            <w:r>
              <w:rPr>
                <w:rStyle w:val="Character1"/>
                <w:sz w:val="22"/>
                <w:szCs w:val="22"/>
              </w:rPr>
              <w:t xml:space="preserve">si tulb de dentitie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Fie defecte de diferite grade de legare a </w:t>
            </w:r>
            <w:r>
              <w:rPr>
                <w:rStyle w:val="Character1"/>
                <w:sz w:val="22"/>
                <w:szCs w:val="22"/>
              </w:rPr>
              <w:t xml:space="preserve">1,25 OH2D fie defecte de legare de </w:t>
            </w:r>
            <w:r>
              <w:rPr>
                <w:rStyle w:val="Character1"/>
                <w:sz w:val="22"/>
                <w:szCs w:val="22"/>
              </w:rPr>
              <w:t>ADN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Dg dif – alimentatie ff sraca in Ca; </w:t>
            </w:r>
          </w:p>
          <w:p>
            <w:pPr>
              <w:pStyle w:val="a3"/>
              <w:numPr>
                <w:ilvl w:val="0"/>
                <w:numId w:val="16"/>
              </w:numPr>
              <w:jc w:val="left"/>
              <w:spacing w:line="240" w:lineRule="auto"/>
              <w:contextualSpacing w:val="1"/>
              <w:ind w:left="720" w:hanging="360"/>
              <w:rPr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Rahitismului prin deficit de vitamina D </w:t>
            </w:r>
            <w:r>
              <w:rPr>
                <w:rStyle w:val="Character1"/>
                <w:sz w:val="22"/>
                <w:szCs w:val="22"/>
              </w:rPr>
              <w:t xml:space="preserve">la initierea tratamentului cu vitamina D</w:t>
            </w:r>
          </w:p>
        </w:tc>
        <w:tc>
          <w:tcPr>
            <w:tcW w:w="29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1, 25OHD crescut (prezinta si </w:t>
            </w:r>
            <w:r>
              <w:rPr>
                <w:rStyle w:val="Character1"/>
                <w:sz w:val="22"/>
                <w:szCs w:val="22"/>
              </w:rPr>
              <w:t xml:space="preserve">scaderea feed back negativ la </w:t>
            </w:r>
            <w:r>
              <w:rPr>
                <w:rStyle w:val="Character1"/>
                <w:sz w:val="22"/>
                <w:szCs w:val="22"/>
              </w:rPr>
              <w:t xml:space="preserve">nivelul 1 alpha hidroxilazei </w:t>
            </w:r>
            <w:r>
              <w:rPr>
                <w:rStyle w:val="Character1"/>
                <w:sz w:val="22"/>
                <w:szCs w:val="22"/>
              </w:rPr>
              <w:t>renale)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25OHD normal sau crescut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color w:val="FF0000"/>
                <w:rFonts w:ascii="" w:eastAsia="" w:hAnsi="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4"/>
                <w:color w:val="FF0000"/>
                <w:sz w:val="22"/>
                <w:szCs w:val="22"/>
              </w:rPr>
              <w:t xml:space="preserve">Trt: unii raspund la doze f mari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de vitamina D ai sa mentina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productia de 1,25 OHD; altii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necesita calcitiol (pana la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6mcg/kgc/zi) + Ca (pana la 30-</w:t>
            </w:r>
            <w:r>
              <w:rPr>
                <w:rStyle w:val="Character24"/>
                <w:color w:val="FF0000"/>
                <w:sz w:val="22"/>
                <w:szCs w:val="22"/>
              </w:rPr>
              <w:t>60mcg/kgc/zi)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color w:val="FF0000"/>
                <w:rFonts w:ascii="" w:eastAsia="" w:hAnsi="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4"/>
                <w:color w:val="FF0000"/>
                <w:sz w:val="22"/>
                <w:szCs w:val="22"/>
              </w:rPr>
              <w:t xml:space="preserve">Unii merg cu 1000 mg Calciu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inj intracav pe zi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4"/>
                <w:color w:val="FF0000"/>
                <w:sz w:val="22"/>
                <w:szCs w:val="22"/>
              </w:rPr>
              <w:t xml:space="preserve">Raspunsul e variabil intre pc si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uneori recad sau se </w:t>
            </w:r>
            <w:r>
              <w:rPr>
                <w:rStyle w:val="Character24"/>
                <w:color w:val="FF0000"/>
                <w:sz w:val="22"/>
                <w:szCs w:val="22"/>
              </w:rPr>
              <w:t xml:space="preserve">amelioreaza dupa pubertate</w:t>
            </w:r>
          </w:p>
        </w:tc>
      </w:tr>
    </w:tbl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>HIPOFOSFATEMIE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Absorbtie intestinala a PO4 pasiva sau activa, prin NaPi IIb (gradientul de Na este mentinut activ de Na/K ATPaza. Reglata de </w:t>
      </w:r>
      <w:r>
        <w:rPr>
          <w:rStyle w:val="Character1"/>
          <w:sz w:val="22"/>
          <w:szCs w:val="22"/>
        </w:rPr>
        <w:t xml:space="preserve">vitamina D;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Nivelele sangvine reglate de eliminarile/reabsorbtia renala – la nivelul tub contort proximal, tub distal; tot prin NaPi II a; </w:t>
      </w:r>
      <w:r>
        <w:rPr>
          <w:rStyle w:val="Character1"/>
          <w:sz w:val="22"/>
          <w:szCs w:val="22"/>
        </w:rPr>
        <w:t xml:space="preserve">Napi II c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Reabsorbtia inhibata de PTh, PTHrp; calcitonina; FGF 23; glucocorticoizi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Reabsorbtia stimulata de IGF1; GH; insulina; 1,25OHD;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32"/>
          <w:b/>
          <w:sz w:val="22"/>
          <w:szCs w:val="22"/>
        </w:rPr>
        <w:t>FGF23</w:t>
      </w:r>
      <w:r>
        <w:rPr>
          <w:rStyle w:val="Character1"/>
          <w:sz w:val="22"/>
          <w:szCs w:val="22"/>
        </w:rPr>
        <w:t xml:space="preserve"> – sintetizat de osteocite/osteoblaste/cel plate de tapetare; anormal de tumori beninge sau maligne. Necesita </w:t>
      </w:r>
      <w:r>
        <w:rPr>
          <w:rStyle w:val="Character1"/>
          <w:sz w:val="22"/>
          <w:szCs w:val="22"/>
        </w:rPr>
        <w:t xml:space="preserve">activare de GALNT3. Apoi se leaga de FGFR (receptor transmembranar)si Klotho (coactivator) si scade  expresia de NaPi II a </w:t>
      </w:r>
      <w:r>
        <w:rPr>
          <w:rStyle w:val="Character1"/>
          <w:sz w:val="22"/>
          <w:szCs w:val="22"/>
        </w:rPr>
        <w:t xml:space="preserve">si II c -&gt; hiperfosfaturie . In plus determina scaderea expresiei de 1 alpha hidroxilaza. Necesita si heparina pt legarea de </w:t>
      </w:r>
      <w:r>
        <w:rPr>
          <w:rStyle w:val="Character1"/>
          <w:sz w:val="22"/>
          <w:szCs w:val="22"/>
        </w:rPr>
        <w:t xml:space="preserve">receptor FGFR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! creste in insuficienta renala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Clinic – copilul evita sa puna greutate pe mb inferioare; viteza de crestere diminuata din primul an; rahitism, osteomalacie; </w:t>
      </w:r>
      <w:r>
        <w:rPr>
          <w:rStyle w:val="Character1"/>
          <w:sz w:val="22"/>
          <w:szCs w:val="22"/>
        </w:rPr>
        <w:t xml:space="preserve">deficit statural(mai ales la nivelul mb inferioare cu deformari). Eruptii dentare intarziate; abcese dentare pe o camera </w:t>
      </w:r>
      <w:r>
        <w:rPr>
          <w:rStyle w:val="Character1"/>
          <w:sz w:val="22"/>
          <w:szCs w:val="22"/>
        </w:rPr>
        <w:t xml:space="preserve">pulpara mai mare. Cranionostoza; tulburari de auz; </w:t>
      </w:r>
      <w:r>
        <w:rPr>
          <w:rStyle w:val="Character1"/>
          <w:sz w:val="22"/>
          <w:szCs w:val="22"/>
        </w:rPr>
        <w:tab/>
      </w:r>
      <w:r>
        <w:rPr>
          <w:rStyle w:val="Character1"/>
          <w:sz w:val="22"/>
          <w:szCs w:val="22"/>
        </w:rPr>
        <w:t xml:space="preserve">Severitate variabila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La adulti – asimptomatic --&gt; dureri osoase, fx; dupa 20-30 de ani incep sa prezinte exostoze, oteofite si artroze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Paraclinic: </w:t>
      </w:r>
      <w:r>
        <w:rPr>
          <w:rStyle w:val="Character32"/>
          <w:b/>
          <w:sz w:val="22"/>
          <w:szCs w:val="22"/>
        </w:rPr>
        <w:t xml:space="preserve">FGF 23 crescut</w:t>
      </w:r>
      <w:r>
        <w:rPr>
          <w:rStyle w:val="Character1"/>
          <w:sz w:val="22"/>
          <w:szCs w:val="22"/>
        </w:rPr>
        <w:t xml:space="preserve">; hipoPO4 secundara hiperPO4uremiei; malabsorbtie usoara de PO4; 1,25OHD insuficient crescuta </w:t>
      </w:r>
      <w:r>
        <w:rPr>
          <w:rStyle w:val="Character1"/>
          <w:sz w:val="22"/>
          <w:szCs w:val="22"/>
        </w:rPr>
        <w:t xml:space="preserve">pt nivelul sangvin al PO4 [anomalie de sinteza]. Prezinta cresteri de PTH dar nu atat de importante ca in deficitul de vitamina </w:t>
      </w:r>
      <w:r>
        <w:rPr>
          <w:rStyle w:val="Character1"/>
          <w:sz w:val="22"/>
          <w:szCs w:val="22"/>
        </w:rPr>
        <w:t xml:space="preserve">D [secr de PTH e inhibata de hipoPO4]; cresterei de fosf alcalina dar nu atat de mari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Interesant ca femeile au acelasi reducere de PO4 dar maifestari osoase mult mai usoare</w:t>
      </w:r>
    </w:p>
    <w:tbl>
      <w:tblPr>
        <w:tblStyle w:val="Default Table"/>
        <w:tblCellMar w:top="0" w:left="108" w:bottom="0" w:right="108"/>
        <w:tblW w:w="11628" w:type="auto"/>
        <w:tblLook w:val="0000"/>
      </w:tblPr>
      <w:tblGrid>
        <w:gridCol w:w="2988"/>
        <w:gridCol w:w="4410"/>
        <w:gridCol w:w="4230"/>
      </w:tblGrid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Hipofosfatemie X linkata AD</w:t>
            </w:r>
          </w:p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Mutatiia este pe crz X, o </w:t>
            </w:r>
            <w:r>
              <w:rPr>
                <w:rStyle w:val="Character1"/>
                <w:sz w:val="22"/>
                <w:szCs w:val="22"/>
              </w:rPr>
              <w:t xml:space="preserve">singura mutatie este suficienta </w:t>
            </w:r>
            <w:r>
              <w:rPr>
                <w:rStyle w:val="Character1"/>
                <w:sz w:val="22"/>
                <w:szCs w:val="22"/>
              </w:rPr>
              <w:t xml:space="preserve">ca femeile sa faca boala; tatii </w:t>
            </w:r>
            <w:r>
              <w:rPr>
                <w:rStyle w:val="Character1"/>
                <w:sz w:val="22"/>
                <w:szCs w:val="22"/>
              </w:rPr>
              <w:t xml:space="preserve">nu transmit boala</w:t>
            </w:r>
          </w:p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1:20.000-60.000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7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  <w:sz w:val="22"/>
                <w:szCs w:val="22"/>
              </w:rPr>
              <w:t xml:space="preserve">Mutatii loss of function PHEX [metaloproteaza </w:t>
            </w:r>
            <w:r>
              <w:rPr>
                <w:rStyle w:val="Character1"/>
                <w:sz w:val="22"/>
                <w:szCs w:val="22"/>
              </w:rPr>
              <w:t xml:space="preserve">1,25OHD (20-50 ng/kgc/zi)+ PO4 (20-75 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legata de membrana din osteocite/ </w:t>
            </w:r>
            <w:r>
              <w:rPr>
                <w:rStyle w:val="Character1"/>
                <w:sz w:val="22"/>
                <w:szCs w:val="22"/>
              </w:rPr>
              <w:t xml:space="preserve">osteoblaste/ dinti/ SNC, Plaman, gonade, piele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28"/>
                <w:b/>
                <w:sz w:val="22"/>
                <w:szCs w:val="22"/>
              </w:rPr>
              <w:t>ph</w:t>
            </w:r>
            <w:r>
              <w:rPr>
                <w:rStyle w:val="Character1"/>
                <w:sz w:val="22"/>
                <w:szCs w:val="22"/>
              </w:rPr>
              <w:t xml:space="preserve">osphate-regulating gene homologous to </w:t>
            </w:r>
            <w:r>
              <w:rPr>
                <w:rStyle w:val="Character28"/>
                <w:b/>
                <w:sz w:val="22"/>
                <w:szCs w:val="22"/>
              </w:rPr>
              <w:t>e</w:t>
            </w:r>
            <w:r>
              <w:rPr>
                <w:rStyle w:val="Character1"/>
                <w:sz w:val="22"/>
                <w:szCs w:val="22"/>
              </w:rPr>
              <w:t xml:space="preserve">ndopeptidases on the </w:t>
            </w:r>
            <w:r>
              <w:rPr>
                <w:rStyle w:val="Character28"/>
                <w:b/>
                <w:sz w:val="22"/>
                <w:szCs w:val="22"/>
              </w:rPr>
              <w:t>X</w:t>
            </w:r>
            <w:r>
              <w:rPr>
                <w:rStyle w:val="Character1"/>
                <w:sz w:val="22"/>
                <w:szCs w:val="22"/>
              </w:rPr>
              <w:t xml:space="preserve"> chromosome – nu se </w:t>
            </w:r>
            <w:r>
              <w:rPr>
                <w:rStyle w:val="Character1"/>
                <w:sz w:val="22"/>
                <w:szCs w:val="22"/>
              </w:rPr>
              <w:t xml:space="preserve">inactiveaza FGF23 si se elibereaza si alti factori </w:t>
            </w:r>
            <w:r>
              <w:rPr>
                <w:rStyle w:val="Character1"/>
                <w:sz w:val="22"/>
                <w:szCs w:val="22"/>
              </w:rPr>
              <w:t xml:space="preserve">care determina inhibitia mineralizarii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6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mg/kgc/zi, maxim 2g/zi, in 3-5 doze)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Reactii adverse la trt – hiperca; hiperCaurie, </w:t>
            </w:r>
            <w:r>
              <w:rPr>
                <w:rStyle w:val="Character1"/>
                <w:sz w:val="22"/>
                <w:szCs w:val="22"/>
              </w:rPr>
              <w:t xml:space="preserve">nefrocalcinoza, HPTH -&gt; monitorizare </w:t>
            </w:r>
            <w:r>
              <w:rPr>
                <w:rStyle w:val="Character1"/>
                <w:sz w:val="22"/>
                <w:szCs w:val="22"/>
              </w:rPr>
              <w:t xml:space="preserve">frecventa si agresiva. 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La adult tratez dc are dureri osoase/fx;  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Amiloride and hydrochlorothiazide are </w:t>
            </w:r>
            <w:r>
              <w:rPr>
                <w:rStyle w:val="Character1"/>
                <w:sz w:val="22"/>
                <w:szCs w:val="22"/>
              </w:rPr>
              <w:t xml:space="preserve">administered to enhance calcium </w:t>
            </w:r>
            <w:r>
              <w:rPr>
                <w:rStyle w:val="Character1"/>
                <w:sz w:val="22"/>
                <w:szCs w:val="22"/>
              </w:rPr>
              <w:t xml:space="preserve">reabsorption and to reduce the risk of </w:t>
            </w:r>
            <w:r>
              <w:rPr>
                <w:rStyle w:val="Character1"/>
                <w:sz w:val="22"/>
                <w:szCs w:val="22"/>
              </w:rPr>
              <w:t>nephrocalcinosis</w:t>
            </w:r>
          </w:p>
        </w:tc>
      </w:tr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Hipofosfatemie AD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Gain of function FGF23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Clinic ~ cu hipofosfatemie X linkata dar cu risc </w:t>
            </w:r>
            <w:r>
              <w:rPr>
                <w:rStyle w:val="Character1"/>
                <w:sz w:val="22"/>
                <w:szCs w:val="22"/>
              </w:rPr>
              <w:t xml:space="preserve">mai mare de fx la adult; ocazional remisiunea </w:t>
            </w:r>
            <w:r>
              <w:rPr>
                <w:rStyle w:val="Character1"/>
                <w:sz w:val="22"/>
                <w:szCs w:val="22"/>
              </w:rPr>
              <w:t xml:space="preserve">hiperPO4uriei dupa pubertate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Hipofosfatemie AR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Loss of funtion dentin matrix protein 1 (DMP1)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Clinic ~ cu hipoPO4 X linkata dar in plus </w:t>
            </w:r>
            <w:r>
              <w:rPr>
                <w:rStyle w:val="Character1"/>
                <w:sz w:val="22"/>
                <w:szCs w:val="22"/>
              </w:rPr>
              <w:t xml:space="preserve">scleroza corpi vetebrali; hipoplazie de smalt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Osteomalacia indusa tumoral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Secretie de FGF23 de catre tumori [de obicei </w:t>
            </w:r>
            <w:r>
              <w:rPr>
                <w:rStyle w:val="Character1"/>
                <w:sz w:val="22"/>
                <w:szCs w:val="22"/>
              </w:rPr>
              <w:t xml:space="preserve">mezenchimale – osteoblastoame fibroame,  </w:t>
            </w:r>
            <w:r>
              <w:rPr>
                <w:rStyle w:val="Character1"/>
                <w:sz w:val="22"/>
                <w:szCs w:val="22"/>
              </w:rPr>
              <w:t xml:space="preserve">dar si san; prostata, pulmonar cu celule mici; </w:t>
            </w:r>
            <w:r>
              <w:rPr>
                <w:rStyle w:val="Character1"/>
                <w:sz w:val="22"/>
                <w:szCs w:val="22"/>
              </w:rPr>
              <w:t xml:space="preserve">MM, hematologice]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Frecvent tumori mici, localizate ectopic -&gt; PET; </w:t>
            </w:r>
            <w:r>
              <w:rPr>
                <w:rStyle w:val="Character1"/>
                <w:sz w:val="22"/>
                <w:szCs w:val="22"/>
              </w:rPr>
              <w:t>octeoscan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!!incl benigne – displazia fibroasa a osului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!! nefropatia indusa de proteinuria cu lanturi </w:t>
            </w:r>
            <w:r>
              <w:rPr>
                <w:rStyle w:val="Character1"/>
                <w:sz w:val="22"/>
                <w:szCs w:val="22"/>
              </w:rPr>
              <w:t xml:space="preserve">usoare poate determina hiperPO4urie.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Rezectie tumorala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1,25OHD pana la 3mcg/zi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Fosfor pana la4g/zi</w:t>
            </w:r>
          </w:p>
        </w:tc>
      </w:tr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Hipofosfatemie X linkata </w:t>
            </w:r>
            <w:r>
              <w:rPr>
                <w:rStyle w:val="Character1"/>
                <w:sz w:val="22"/>
                <w:szCs w:val="22"/>
              </w:rPr>
              <w:t>recesiva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Mutatii de canal de clor -&gt; hiperPO4 urie; </w:t>
            </w:r>
            <w:r>
              <w:rPr>
                <w:rStyle w:val="Character1"/>
                <w:sz w:val="22"/>
                <w:szCs w:val="22"/>
              </w:rPr>
              <w:t xml:space="preserve">hiperCaurie; proteinurie; 1,25OHD crescut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Au insuficienta renala cu debut la varsta </w:t>
            </w:r>
            <w:r>
              <w:rPr>
                <w:rStyle w:val="Character1"/>
                <w:sz w:val="22"/>
                <w:szCs w:val="22"/>
              </w:rPr>
              <w:t xml:space="preserve">tanara; nefrocalcinoza; uneori </w:t>
            </w:r>
            <w:r>
              <w:rPr>
                <w:rStyle w:val="Character1"/>
                <w:sz w:val="22"/>
                <w:szCs w:val="22"/>
              </w:rPr>
              <w:t>rahitism/osteomalacie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29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Rahitism hipofosfatemic </w:t>
            </w:r>
            <w:r>
              <w:rPr>
                <w:rStyle w:val="Character1"/>
                <w:sz w:val="22"/>
                <w:szCs w:val="22"/>
              </w:rPr>
              <w:t xml:space="preserve">hipercalciuric ereditar</w:t>
            </w:r>
          </w:p>
        </w:tc>
        <w:tc>
          <w:tcPr>
            <w:tcW w:w="44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Autozomal recesiva – mutatii NaPi II c;  -&gt; </w:t>
            </w:r>
            <w:r>
              <w:rPr>
                <w:rStyle w:val="Character1"/>
                <w:sz w:val="22"/>
                <w:szCs w:val="22"/>
              </w:rPr>
              <w:t xml:space="preserve">pierde PO4 dar creste compensator 1,25OHD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Rahitism cu Slabiciune musculara</w:t>
            </w:r>
          </w:p>
        </w:tc>
        <w:tc>
          <w:tcPr>
            <w:tcW w:w="42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Fosfor 1-2.5 g/zi in 5 prize</w:t>
            </w:r>
          </w:p>
        </w:tc>
      </w:tr>
    </w:tbl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Dg The TRP in X-linked hypophosphatemia is 60%; normal TRP exceeds 90% at the same reduced plasma phosphate </w:t>
      </w:r>
      <w:r>
        <w:rPr>
          <w:rStyle w:val="Character1"/>
          <w:sz w:val="22"/>
          <w:szCs w:val="22"/>
        </w:rPr>
        <w:t>concentration</w:t>
      </w:r>
    </w:p>
    <w:p>
      <w:pPr>
        <w:pStyle w:val="Para18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TRP (tubular reabsobtion of phosphate) = 1 - [Phosphate Clearance (CPi) / Creatinine Clearance (C</w:t>
      </w:r>
      <w:r>
        <w:rPr>
          <w:rStyle w:val="Character36"/>
          <w:vertAlign w:val="subscript"/>
          <w:sz w:val="24"/>
          <w:szCs w:val="24"/>
        </w:rPr>
        <w:t>cr</w:t>
      </w:r>
      <w:r>
        <w:rPr>
          <w:rStyle w:val="Character35"/>
          <w:sz w:val="24"/>
          <w:szCs w:val="24"/>
        </w:rPr>
        <w:t xml:space="preserve">)] X 100</w:t>
      </w:r>
    </w:p>
    <w:p>
      <w:pPr>
        <w:pStyle w:val="Para18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The following formula calculates CPi:</w:t>
      </w:r>
    </w:p>
    <w:p>
      <w:pPr>
        <w:pStyle w:val="Para18"/>
        <w:spacing w:line="240" w:lineRule="auto" w:before="280" w:after="28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[Urine Phosphate (mg/dL) X Volume (mL/min)] / Plasma Phosphate (mg/dL)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7"/>
        <w:spacing w:line="276" w:lineRule="auto" w:after="200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  <w:sz w:val="22"/>
          <w:szCs w:val="22"/>
        </w:rPr>
        <w:t xml:space="preserve">Dg dif: </w:t>
      </w:r>
      <w:r>
        <w:rPr>
          <w:rStyle w:val="Character35"/>
          <w:sz w:val="24"/>
          <w:szCs w:val="24"/>
        </w:rPr>
        <w:t xml:space="preserve">  Renal tubular acidosis </w:t>
      </w:r>
    </w:p>
    <w:p>
      <w:pPr>
        <w:pStyle w:val="Para19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  Hereditary hypophosphatemic rickets with hypocalciuria </w:t>
      </w:r>
    </w:p>
    <w:p>
      <w:pPr>
        <w:pStyle w:val="Para19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  Fanconi syndrome (types I and II) </w:t>
      </w:r>
    </w:p>
    <w:p>
      <w:pPr>
        <w:pStyle w:val="Para19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  Vitamin D ̶ dependent rickets (types I and II) </w:t>
      </w:r>
    </w:p>
    <w:p>
      <w:pPr>
        <w:pStyle w:val="Para19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  Vitamin D ̶ deficient rickets </w:t>
      </w:r>
    </w:p>
    <w:p>
      <w:pPr>
        <w:pStyle w:val="Para19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35"/>
          <w:sz w:val="24"/>
          <w:szCs w:val="24"/>
        </w:rPr>
        <w:t xml:space="preserve">  Pseudohypoparathyroidism </w:t>
      </w:r>
    </w:p>
    <w:p>
      <w:pPr>
        <w:pStyle w:val="Para2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Calcinoza tumorala hiperfosfatemica este determinata de reabsobtia crescuta de PO4 renal cu cresterea produsului </w:t>
      </w:r>
      <w:r>
        <w:rPr>
          <w:rStyle w:val="Character1"/>
          <w:sz w:val="22"/>
          <w:szCs w:val="22"/>
        </w:rPr>
        <w:t xml:space="preserve">fosfocalcic si calcificari ectopice. Asociaza si exces de 1,25OHD.</w:t>
      </w:r>
    </w:p>
    <w:p>
      <w:pPr>
        <w:pStyle w:val="Para2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Determinata de mutatii inactivatoare FGF 23; mutatii inactivatoare Klotho; mutatii inactivatoare in GALNT3 [care are rolul </w:t>
      </w:r>
      <w:r>
        <w:rPr>
          <w:rStyle w:val="Character1"/>
          <w:sz w:val="22"/>
          <w:szCs w:val="22"/>
        </w:rPr>
        <w:t xml:space="preserve">de a activa FGF23] 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>HIPOFOSFATASEMIE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Mutatii in fosfataza alcalina nespecifica tisular. 6 tipuri de boala: perinatal (lethal), infantile, childhood, and adult. Two other </w:t>
      </w:r>
      <w:r>
        <w:rPr>
          <w:rStyle w:val="Character1"/>
          <w:sz w:val="22"/>
          <w:szCs w:val="22"/>
        </w:rPr>
        <w:t xml:space="preserve">forms include odontohypophosphatasia (no clinical changes in long bones are present, only biochemical and dental </w:t>
      </w:r>
      <w:r>
        <w:rPr>
          <w:rStyle w:val="Character1"/>
          <w:sz w:val="22"/>
          <w:szCs w:val="22"/>
        </w:rPr>
        <w:t xml:space="preserve">manifestations) and pseudohypophosphatasia [= infantila dar cu fosf alk normala -&gt; efect in vitro, fara efect in vivo]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1:100.000 [1:2500 in anumite populatii]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4 izoenzime: placentara; intestinala; fetala; nespecifica [os, ficat, rinichi]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Se dimerizeaza si cliveaza diferite substraturi care contin fosfat. Daca nu e activa creste Ppi care inhiba osificarea matricei </w:t>
      </w:r>
      <w:r>
        <w:rPr>
          <w:rStyle w:val="Character1"/>
          <w:sz w:val="22"/>
          <w:szCs w:val="22"/>
        </w:rPr>
        <w:t>osoase</w:t>
      </w:r>
    </w:p>
    <w:tbl>
      <w:tblPr>
        <w:tblStyle w:val="Default Table"/>
        <w:tblCellMar w:top="0" w:left="108" w:bottom="0" w:right="108"/>
        <w:tblW w:w="11286" w:type="auto"/>
        <w:tblLook w:val="0000"/>
      </w:tblPr>
      <w:tblGrid>
        <w:gridCol w:w="2424"/>
        <w:gridCol w:w="8094"/>
        <w:gridCol w:w="768"/>
      </w:tblGrid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Forma perinatala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Mort la nastere sau in cateva zile prin complicatii respiratorii cu plamani hipoplazici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Deformari osoase; vertebre tasate; calcificari osoase foarte redusa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Skin-covered spurs that extend from the medial and lateral aspects of the knee and </w:t>
            </w:r>
            <w:r>
              <w:rPr>
                <w:rStyle w:val="Character1"/>
                <w:sz w:val="22"/>
                <w:szCs w:val="22"/>
              </w:rPr>
              <w:t xml:space="preserve">elbow joints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Ar</w:t>
            </w: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Forma infantila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Debut in primele 6 luni de viata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Esecul cresterii; hipotonie musculara; deformari de torace -&gt; complicatii respiratorii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Craniostozis in ciuda fontanelei deschise !! hipertensiune intracraniana; deformari </w:t>
            </w:r>
            <w:r>
              <w:rPr>
                <w:rStyle w:val="Character1"/>
                <w:sz w:val="22"/>
                <w:szCs w:val="22"/>
              </w:rPr>
              <w:t xml:space="preserve">osoase; convulsii; fracturi; mineralizare osoasa deficitara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HIPERCALCEMIE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Fatala 50% cazuri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Ar</w:t>
            </w: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Forma juvenila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Deformari schelet; mers intarziat si dificil; fx; deficit statural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Craniostozis – hipertensiune intracerebrala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pierderea rapida a dintilor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proiectii radiotransparente ale cartiliajului de crestere in metafiza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Ar/A</w:t>
            </w:r>
            <w:r>
              <w:rPr>
                <w:rStyle w:val="Character1"/>
                <w:sz w:val="22"/>
                <w:szCs w:val="22"/>
              </w:rPr>
              <w:t>D</w:t>
            </w: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Forma adultului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Fx; dureri osoase [dureri mb inf prin fx metatarsiene]</w:t>
            </w:r>
          </w:p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Pseudofracturi, frecvent la femur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Ar/A</w:t>
            </w:r>
            <w:r>
              <w:rPr>
                <w:rStyle w:val="Character1"/>
                <w:sz w:val="22"/>
                <w:szCs w:val="22"/>
              </w:rPr>
              <w:t>D</w:t>
            </w: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odontohipofosfatasemie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Pierdere rapida a dintilor; 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Ar/A</w:t>
            </w:r>
            <w:r>
              <w:rPr>
                <w:rStyle w:val="Character1"/>
                <w:sz w:val="22"/>
                <w:szCs w:val="22"/>
              </w:rPr>
              <w:t>D</w:t>
            </w: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>pseudohipofosfatasemie</w:t>
            </w: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"/>
                <w:sz w:val="22"/>
                <w:szCs w:val="22"/>
              </w:rPr>
              <w:t xml:space="preserve">Asematoare cu cea infantila dar cu fosf alc normala</w:t>
            </w: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  <w:tr>
        <w:tc>
          <w:tcPr>
            <w:tcW w:w="242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  <w:tc>
          <w:tcPr>
            <w:tcW w:w="809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  <w:tc>
          <w:tcPr>
            <w:tcW w:w="7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</w:tc>
      </w:tr>
    </w:tbl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Dg dif – osteodisplazia tanatogena; rahitisme congenitale; osteogeneza imperfecta; acondrodisplazii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Histopatologic – crestere osteoid cu mineralizare redusa; la osteoblaste nu prez fosf alk in membrana la IHC. 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>Tratament</w:t>
      </w:r>
    </w:p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Asfotaza alpha – pt formele neonatala/infantila/juvenila. Glicoproteina care contine portiunea activa din fosf alc</w:t>
      </w:r>
    </w:p>
    <w:p>
      <w:pPr>
        <w:pStyle w:val="Para21"/>
        <w:spacing w:line="276" w:lineRule="auto" w:after="100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La adulti s-a incercat teriparatid</w:t>
      </w:r>
    </w:p>
    <w:sectPr>
      <w:pgSz w:w="12240" w:h="15840"/>
      <w:pgMar w:top="630" w:right="630" w:bottom="1440" w:left="5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584042147"/>
    <w:lvl w:ilvl="0">
      <w:start w:val="1"/>
      <w:numFmt w:val="decimal"/>
      <w:lvlText w:val="%1.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">
    <w:nsid w:val="1"/>
    <w:multiLevelType w:val="hybridMultilevel"/>
    <w:tmpl w:val="326455610"/>
    <w:lvl w:ilvl="0">
      <w:start w:val="2"/>
      <w:numFmt w:val="decimal"/>
      <w:lvlText w:val="%1.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2">
    <w:nsid w:val="2"/>
    <w:multiLevelType w:val="hybridMultilevel"/>
    <w:tmpl w:val="2137143583"/>
    <w:lvl w:ilvl="0">
      <w:start w:val="3"/>
      <w:numFmt w:val="decimal"/>
      <w:lvlText w:val="%1.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3">
    <w:nsid w:val="3"/>
    <w:multiLevelType w:val="hybridMultilevel"/>
    <w:tmpl w:val="427758301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4">
    <w:nsid w:val="4"/>
    <w:multiLevelType w:val="hybridMultilevel"/>
    <w:tmpl w:val="1408327807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5">
    <w:nsid w:val="5"/>
    <w:multiLevelType w:val="hybridMultilevel"/>
    <w:tmpl w:val="497224602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6">
    <w:nsid w:val="6"/>
    <w:multiLevelType w:val="hybridMultilevel"/>
    <w:tmpl w:val="967680507"/>
    <w:lvl w:ilvl="0">
      <w:start w:val="0"/>
      <w:numFmt w:val="bullet"/>
      <w:lvlText w:val="·"/>
      <w:pPr>
        <w:ind w:left="6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3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0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7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49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21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49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6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3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7">
    <w:nsid w:val="7"/>
    <w:multiLevelType w:val="hybridMultilevel"/>
    <w:tmpl w:val="1882824836"/>
    <w:lvl w:ilvl="0">
      <w:start w:val="0"/>
      <w:numFmt w:val="bullet"/>
      <w:lvlText w:val="·"/>
      <w:pPr>
        <w:ind w:left="6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3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0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7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49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21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49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6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3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8">
    <w:nsid w:val="8"/>
    <w:multiLevelType w:val="hybridMultilevel"/>
    <w:tmpl w:val="1302170100"/>
    <w:lvl w:ilvl="0">
      <w:start w:val="0"/>
      <w:numFmt w:val="bullet"/>
      <w:lvlText w:val="·"/>
      <w:pPr>
        <w:ind w:left="6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3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0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7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49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21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493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65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375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9">
    <w:nsid w:val="9"/>
    <w:multiLevelType w:val="hybridMultilevel"/>
    <w:tmpl w:val="1471869074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0">
    <w:nsid w:val="10"/>
    <w:multiLevelType w:val="hybridMultilevel"/>
    <w:tmpl w:val="212672498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1">
    <w:nsid w:val="11"/>
    <w:multiLevelType w:val="hybridMultilevel"/>
    <w:tmpl w:val="1043470863"/>
    <w:lvl w:ilvl="0">
      <w:start w:val="0"/>
      <w:numFmt w:val="bullet"/>
      <w:lvlText w:val="·"/>
      <w:pPr>
        <w:ind w:left="108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8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5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32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9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6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4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61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8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2">
    <w:nsid w:val="12"/>
    <w:multiLevelType w:val="hybridMultilevel"/>
    <w:tmpl w:val="1273303655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3">
    <w:nsid w:val="13"/>
    <w:multiLevelType w:val="hybridMultilevel"/>
    <w:tmpl w:val="753461744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4">
    <w:nsid w:val="14"/>
    <w:multiLevelType w:val="hybridMultilevel"/>
    <w:tmpl w:val="1792505641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5">
    <w:nsid w:val="15"/>
    <w:multiLevelType w:val="hybridMultilevel"/>
    <w:tmpl w:val="336214573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left"/>
      <w:wordWrap w:val="false"/>
      <w:ind w:left="720" w:hanging="360"/>
      <w:widowControl w:val="false"/>
      <w:rPr/>
    </w:pPr>
  </w:style>
  <w:style w:type="paragraph" w:customStyle="1" w:styleId="Para2">
    <w:name w:val="ParaAttribute2"/>
    <w:pPr>
      <w:spacing w:after="200"/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720" w:hanging="36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spacing w:after="200"/>
      <w:jc w:val="left"/>
      <w:wordWrap w:val="false"/>
      <w:ind w:left="0" w:hanging="0"/>
      <w:rPr/>
    </w:pPr>
  </w:style>
  <w:style w:type="paragraph" w:customStyle="1" w:styleId="Para7">
    <w:name w:val="ParaAttribute7"/>
    <w:pPr>
      <w:spacing w:after="200"/>
      <w:jc w:val="left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rPr/>
    </w:pPr>
  </w:style>
  <w:style w:type="paragraph" w:customStyle="1" w:styleId="Para10">
    <w:name w:val="ParaAttribute10"/>
    <w:pPr>
      <w:jc w:val="left"/>
      <w:wordWrap w:val="false"/>
      <w:ind w:left="0" w:hanging="0"/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spacing w:after="200"/>
      <w:jc w:val="left"/>
      <w:wordWrap w:val="false"/>
      <w:ind w:left="615" w:hanging="360"/>
      <w:widowControl w:val="false"/>
      <w:rPr/>
    </w:pPr>
  </w:style>
  <w:style w:type="paragraph" w:customStyle="1" w:styleId="Para13">
    <w:name w:val="ParaAttribute13"/>
    <w:pPr>
      <w:spacing w:after="200"/>
      <w:jc w:val="left"/>
      <w:wordWrap w:val="false"/>
      <w:ind w:left="1080" w:hanging="360"/>
      <w:widowControl w:val="false"/>
      <w:rPr/>
    </w:pPr>
  </w:style>
  <w:style w:type="paragraph" w:customStyle="1" w:styleId="Para14">
    <w:name w:val="ParaAttribute14"/>
    <w:pPr>
      <w:spacing w:after="200"/>
      <w:jc w:val="left"/>
      <w:wordWrap w:val="false"/>
      <w:ind w:left="1080" w:firstLine="0"/>
      <w:rPr/>
    </w:pPr>
  </w:style>
  <w:style w:type="paragraph" w:customStyle="1" w:styleId="Para15">
    <w:name w:val="ParaAttribute15"/>
    <w:pPr>
      <w:spacing w:after="200"/>
      <w:jc w:val="left"/>
      <w:wordWrap w:val="false"/>
      <w:ind w:left="108" w:firstLine="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rPr/>
    </w:pPr>
  </w:style>
  <w:style w:type="paragraph" w:customStyle="1" w:styleId="Para17">
    <w:name w:val="ParaAttribute17"/>
    <w:pPr>
      <w:jc w:val="left"/>
      <w:wordWrap w:val="false"/>
      <w:ind w:left="0" w:hanging="0"/>
      <w:rPr/>
    </w:pPr>
  </w:style>
  <w:style w:type="paragraph" w:customStyle="1" w:styleId="Para18">
    <w:name w:val="ParaAttribute18"/>
    <w:pPr>
      <w:spacing w:before="280" w:after="280"/>
      <w:jc w:val="left"/>
      <w:wordWrap w:val="false"/>
      <w:ind w:left="0" w:hanging="0"/>
      <w:rPr/>
    </w:pPr>
  </w:style>
  <w:style w:type="paragraph" w:customStyle="1" w:styleId="Para19">
    <w:name w:val="ParaAttribute19"/>
    <w:pPr>
      <w:jc w:val="left"/>
      <w:wordWrap w:val="false"/>
      <w:ind w:left="0" w:hanging="0"/>
      <w:rPr/>
    </w:pPr>
  </w:style>
  <w:style w:type="paragraph" w:customStyle="1" w:styleId="Para20">
    <w:name w:val="ParaAttribute20"/>
    <w:pPr>
      <w:spacing w:after="200"/>
      <w:jc w:val="left"/>
      <w:wordWrap w:val="false"/>
      <w:ind w:left="0" w:hanging="0"/>
      <w:pBdr>
        <w:bottom w:val="single" w:sz="6" w:space="0" w:color="000000"/>
      </w:pBdr>
      <w:rPr/>
    </w:pPr>
  </w:style>
  <w:style w:type="paragraph" w:customStyle="1" w:styleId="Para21">
    <w:name w:val="ParaAttribute21"/>
    <w:pPr>
      <w:spacing w:after="100"/>
      <w:jc w:val="left"/>
      <w:wordWrap w:val="false"/>
      <w:ind w:left="0" w:hanging="0"/>
      <w:rPr/>
    </w:pPr>
  </w:style>
  <w:style w:type="paragraph" w:customStyle="1" w:styleId="Para22">
    <w:name w:val="ParaAttribute22"/>
    <w:pPr>
      <w:jc w:val="left"/>
      <w:wordWrap w:val="false"/>
      <w:ind w:left="0" w:hanging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paragraph" w:customStyle="1" w:styleId="Para26">
    <w:name w:val="ParaAttribute26"/>
    <w:pPr>
      <w:jc w:val="left"/>
      <w:wordWrap w:val="false"/>
      <w:ind w:left="0" w:hanging="0"/>
      <w:widowControl w:val="false"/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sz w:val="22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</w:rPr>
  </w:style>
  <w:style w:type="character" w:customStyle="1" w:styleId="Character3">
    <w:name w:val="CharAttribute3"/>
    <w:rPr>
      <w:rFonts w:ascii="Calibri" w:eastAsia="Calibri"/>
      <w:sz w:val="22"/>
    </w:rPr>
  </w:style>
  <w:style w:type="character" w:customStyle="1" w:styleId="Character4">
    <w:name w:val="CharAttribute4"/>
    <w:rPr>
      <w:rFonts w:ascii="Calibri" w:eastAsia="Calibri"/>
      <w:sz w:val="22"/>
    </w:rPr>
  </w:style>
  <w:style w:type="character" w:customStyle="1" w:styleId="Character5">
    <w:name w:val="CharAttribute5"/>
    <w:rPr>
      <w:rFonts w:ascii="Calibri" w:eastAsia="Calibri"/>
      <w:u w:val="single"/>
      <w:sz w:val="22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sz w:val="22"/>
    </w:rPr>
  </w:style>
  <w:style w:type="character" w:customStyle="1" w:styleId="Character8">
    <w:name w:val="CharAttribute8"/>
    <w:rPr>
      <w:rFonts w:ascii="Calibri" w:eastAsia="Calibri"/>
      <w:sz w:val="22"/>
    </w:rPr>
  </w:style>
  <w:style w:type="character" w:customStyle="1" w:styleId="Character9">
    <w:name w:val="CharAttribute9"/>
    <w:rPr>
      <w:rFonts w:ascii="Calibri" w:eastAsia="Calibri"/>
      <w:sz w:val="22"/>
    </w:rPr>
  </w:style>
  <w:style w:type="character" w:customStyle="1" w:styleId="Character10">
    <w:name w:val="CharAttribute10"/>
    <w:rPr>
      <w:rFonts w:ascii="Calibri" w:eastAsia="Calibri"/>
      <w:sz w:val="22"/>
    </w:rPr>
  </w:style>
  <w:style w:type="character" w:customStyle="1" w:styleId="Character11">
    <w:name w:val="CharAttribute11"/>
    <w:rPr>
      <w:rFonts w:ascii="Calibri" w:eastAsia="Calibri"/>
      <w:sz w:val="24"/>
    </w:rPr>
  </w:style>
  <w:style w:type="character" w:customStyle="1" w:styleId="Character12">
    <w:name w:val="CharAttribute12"/>
    <w:rPr>
      <w:rFonts w:ascii="Times New Roman" w:eastAsia="굴림"/>
    </w:rPr>
  </w:style>
  <w:style w:type="character" w:customStyle="1" w:styleId="Character13">
    <w:name w:val="CharAttribute13"/>
    <w:rPr>
      <w:rFonts w:ascii="Times New Roman" w:eastAsia="Times New Roman"/>
    </w:rPr>
  </w:style>
  <w:style w:type="character" w:customStyle="1" w:styleId="Character14">
    <w:name w:val="CharAttribute14"/>
    <w:rPr>
      <w:rFonts w:ascii="Symbol" w:eastAsia="Symbol"/>
      <w:sz w:val="22"/>
    </w:rPr>
  </w:style>
  <w:style w:type="character" w:customStyle="1" w:styleId="Character15">
    <w:name w:val="CharAttribute15"/>
    <w:rPr>
      <w:rFonts w:ascii="Symbol" w:eastAsia="Symbol"/>
      <w:sz w:val="22"/>
    </w:rPr>
  </w:style>
  <w:style w:type="character" w:customStyle="1" w:styleId="Character16">
    <w:name w:val="CharAttribute16"/>
    <w:rPr>
      <w:rFonts w:ascii="Symbol" w:eastAsia="Symbol"/>
      <w:sz w:val="22"/>
    </w:rPr>
  </w:style>
  <w:style w:type="character" w:customStyle="1" w:styleId="Character17">
    <w:name w:val="CharAttribute17"/>
    <w:rPr>
      <w:rFonts w:ascii="Symbol" w:eastAsia="Symbol"/>
      <w:sz w:val="22"/>
    </w:rPr>
  </w:style>
  <w:style w:type="character" w:customStyle="1" w:styleId="Character18">
    <w:name w:val="CharAttribute18"/>
    <w:rPr>
      <w:rFonts w:ascii="Symbol" w:eastAsia="Symbol"/>
      <w:sz w:val="22"/>
    </w:rPr>
  </w:style>
  <w:style w:type="character" w:customStyle="1" w:styleId="Character19">
    <w:name w:val="CharAttribute19"/>
    <w:rPr>
      <w:rFonts w:ascii="Symbol" w:eastAsia="Symbol"/>
      <w:sz w:val="22"/>
    </w:rPr>
  </w:style>
  <w:style w:type="character" w:customStyle="1" w:styleId="Character20">
    <w:name w:val="CharAttribute20"/>
    <w:rPr>
      <w:rFonts w:ascii="Symbol" w:eastAsia="Symbol"/>
      <w:sz w:val="22"/>
    </w:rPr>
  </w:style>
  <w:style w:type="character" w:customStyle="1" w:styleId="Character21">
    <w:name w:val="CharAttribute21"/>
    <w:rPr>
      <w:rFonts w:ascii="Calibri" w:eastAsia="Calibri"/>
      <w:sz w:val="22"/>
    </w:rPr>
  </w:style>
  <w:style w:type="character" w:customStyle="1" w:styleId="Character22">
    <w:name w:val="CharAttribute22"/>
    <w:rPr>
      <w:rFonts w:ascii="Calibri" w:eastAsia="Calibri"/>
      <w:sz w:val="22"/>
    </w:rPr>
  </w:style>
  <w:style w:type="character" w:customStyle="1" w:styleId="Character23">
    <w:name w:val="CharAttribute23"/>
    <w:rPr>
      <w:rFonts w:ascii="Calibri" w:eastAsia="Calibri"/>
      <w:sz w:val="22"/>
    </w:rPr>
  </w:style>
  <w:style w:type="character" w:customStyle="1" w:styleId="Character24">
    <w:name w:val="CharAttribute24"/>
    <w:rPr>
      <w:rFonts w:ascii="Calibri" w:eastAsia="Calibri"/>
      <w:color w:val="FF0000"/>
      <w:sz w:val="22"/>
    </w:rPr>
  </w:style>
  <w:style w:type="character" w:customStyle="1" w:styleId="Character25">
    <w:name w:val="CharAttribute25"/>
    <w:rPr>
      <w:rFonts w:ascii="Calibri" w:eastAsia="Calibri"/>
      <w:i/>
      <w:sz w:val="22"/>
    </w:rPr>
  </w:style>
  <w:style w:type="character" w:customStyle="1" w:styleId="Character26">
    <w:name w:val="CharAttribute26"/>
    <w:rPr>
      <w:rFonts w:ascii="Calibri" w:eastAsia="Calibri"/>
      <w:i/>
    </w:rPr>
  </w:style>
  <w:style w:type="character" w:customStyle="1" w:styleId="Character27">
    <w:name w:val="CharAttribute27"/>
    <w:rPr>
      <w:rFonts w:ascii="Calibri" w:eastAsia="Calibri"/>
      <w:b/>
      <w:sz w:val="22"/>
    </w:rPr>
  </w:style>
  <w:style w:type="character" w:customStyle="1" w:styleId="Character28">
    <w:name w:val="CharAttribute28"/>
    <w:rPr>
      <w:rFonts w:ascii="Calibri" w:eastAsia="Calibri"/>
      <w:b/>
      <w:sz w:val="22"/>
    </w:rPr>
  </w:style>
  <w:style w:type="character" w:customStyle="1" w:styleId="Character29">
    <w:name w:val="CharAttribute29"/>
    <w:rPr>
      <w:rFonts w:ascii="Calibri" w:eastAsia="Calibri"/>
      <w:sz w:val="18"/>
    </w:rPr>
  </w:style>
  <w:style w:type="character" w:customStyle="1" w:styleId="Character30">
    <w:name w:val="CharAttribute30"/>
    <w:rPr>
      <w:rFonts w:ascii="Calibri" w:eastAsia="Calibri"/>
      <w:sz w:val="18"/>
    </w:rPr>
  </w:style>
  <w:style w:type="character" w:customStyle="1" w:styleId="Character31">
    <w:name w:val="CharAttribute31"/>
    <w:rPr>
      <w:rFonts w:ascii="Calibri" w:eastAsia="Calibri"/>
      <w:i/>
      <w:sz w:val="22"/>
    </w:rPr>
  </w:style>
  <w:style w:type="character" w:customStyle="1" w:styleId="Character32">
    <w:name w:val="CharAttribute32"/>
    <w:rPr>
      <w:rFonts w:ascii="Calibri" w:eastAsia="Calibri"/>
      <w:u w:val="single"/>
      <w:b/>
      <w:sz w:val="22"/>
    </w:rPr>
  </w:style>
  <w:style w:type="character" w:customStyle="1" w:styleId="Character33">
    <w:name w:val="CharAttribute33"/>
    <w:rPr>
      <w:rFonts w:ascii="Times New Roman" w:eastAsia="바탕"/>
    </w:rPr>
  </w:style>
  <w:style w:type="character" w:customStyle="1" w:styleId="Character34">
    <w:name w:val="CharAttribute34"/>
    <w:rPr>
      <w:rFonts w:ascii="Times New Roman" w:eastAsia="Times New Roman"/>
      <w:sz w:val="24"/>
    </w:rPr>
  </w:style>
  <w:style w:type="character" w:customStyle="1" w:styleId="Character35">
    <w:name w:val="CharAttribute35"/>
    <w:rPr>
      <w:rFonts w:ascii="Times New Roman" w:eastAsia="Times New Roman"/>
      <w:sz w:val="24"/>
    </w:rPr>
  </w:style>
  <w:style w:type="character" w:customStyle="1" w:styleId="Character36">
    <w:name w:val="CharAttribute36"/>
    <w:rPr>
      <w:rFonts w:ascii="Times New Roman" w:eastAsia="Times New Roman"/>
      <w:vertAlign w:val="subscrip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TEAM OS</Company>
  <DocSecurity>0</DocSecurity>
  <HyperlinksChanged>false</HyperlinksChanged>
  <Lines>85</Lines>
  <LinksUpToDate>false</LinksUpToDate>
  <Pages>7</Pages>
  <Paragraphs>24</Paragraphs>
  <Words>1796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Corina</dc:creator>
  <cp:lastModifiedBy>Corina</cp:lastModifiedBy>
  <dcterms:modified xsi:type="dcterms:W3CDTF">2018-03-07T14:51:00Z</dcterms:modified>
</cp:coreProperties>
</file>