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15-20% din incidentaloamele SR care apar la 4% din pop adulta si 10 % din varstnici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Secretie autonoma, ACTH independenta. Fara semne de SC.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Mai frecvent la tumorile mari (&gt;2,4cm), ocazional intermitenta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Biochimic : alterarea testelor de supresie dar cu CLU si cortizol salivar ora 24 normale. ACTH supresat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In2002, TheNational institute of Health ,State-of-the-Science conference panel recommended as standard the </w:t>
      </w:r>
      <w:r>
        <w:rPr>
          <w:rStyle w:val="Character1"/>
        </w:rPr>
        <w:t xml:space="preserve">overnight 1-mg DST with the cut-point of 138nm(5mcg/dl) to define adequate suppression. The samer </w:t>
      </w:r>
      <w:r>
        <w:rPr>
          <w:rStyle w:val="Character1"/>
        </w:rPr>
        <w:t xml:space="preserve">recommendation has been expressed by the more recent AACE/AAES medical guidelines for the management </w:t>
      </w:r>
      <w:r>
        <w:rPr>
          <w:rStyle w:val="Character1"/>
        </w:rPr>
        <w:t xml:space="preserve">of adrenal incidentaloma. A controversial voice raised from the FrenchSociety of Endocrinology endorsing the </w:t>
      </w:r>
      <w:r>
        <w:rPr>
          <w:rStyle w:val="Character1"/>
        </w:rPr>
        <w:t xml:space="preserve">cut-off of 50nm (1.8mcg/dl) that was recently proposed by the Endocrine Society Clinical guidelines for the </w:t>
      </w:r>
      <w:r>
        <w:rPr>
          <w:rStyle w:val="Character1"/>
        </w:rPr>
        <w:t xml:space="preserve">screening of overt Cushing’s syndrome. O propunere ar fi &lt;50 nM nu e SCsc, &gt; 138nM, e SCsc, intre -&gt; zona de </w:t>
      </w:r>
      <w:r>
        <w:rPr>
          <w:rStyle w:val="Character1"/>
        </w:rPr>
        <w:t xml:space="preserve">gri, de monitorizat.r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Imagistic CT fara subst de contrast = densitate mai mica de 10 HU. 30% Au densitate mai mare --&gt; evaluare cu </w:t>
      </w:r>
      <w:r>
        <w:rPr>
          <w:rStyle w:val="Character1"/>
        </w:rPr>
        <w:t xml:space="preserve">subsranta de cintrast la 15 minute post contrast --&gt; spalare mult mai rapida in adenoame.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Secundar, RMN, PET/CT, scintigrafie SR.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Risc, cel putin teoretic de sindr metabolic si OP, cu mortalitate mai mare, dar studii neconcludente inca. </w:t>
      </w:r>
      <w:r>
        <w:rPr>
          <w:rStyle w:val="Character1"/>
        </w:rPr>
        <w:t xml:space="preserve">Modificare dinamica, care poate evolua spre remisiune, poate fi stationara sau progresiva (rar).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Risc crescur de HTA, DZ2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Tratament - adrenalectomie, mai ales la tineri sau cei cu semne progresive de hipercorticism sau cu compicatii </w:t>
      </w:r>
      <w:r>
        <w:rPr>
          <w:rStyle w:val="Character1"/>
        </w:rPr>
        <w:t xml:space="preserve">metabolice/osteoporotice.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The NIH state-of-the-science statement suggested that either adrenalectomy or careful observation is a treatment </w:t>
      </w:r>
      <w:r>
        <w:rPr>
          <w:rStyle w:val="Character1"/>
        </w:rPr>
        <w:t xml:space="preserve">option for SCS patients.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The AACE / AAES Medical Guidelines for the management of adrenal incidentalomas recommended that </w:t>
      </w:r>
      <w:r>
        <w:rPr>
          <w:rStyle w:val="Character1"/>
        </w:rPr>
        <w:t xml:space="preserve">surgery should be reserved for SCS patients with worsening hypertension, abnormal glucose tolerance, </w:t>
      </w:r>
      <w:r>
        <w:rPr>
          <w:rStyle w:val="Character1"/>
        </w:rPr>
        <w:t xml:space="preserve">dyslipidemia or osteoporosis (recommendation with low level of evidence).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The AME position statement on adrenal incidentaloma suggested that surgery should be elected for younger </w:t>
      </w:r>
      <w:r>
        <w:rPr>
          <w:rStyle w:val="Character1"/>
        </w:rPr>
        <w:t xml:space="preserve">SCS patients presenting diseases potentially attributable to cortisol hypersecretion with a recent onset, or a rapid </w:t>
      </w:r>
      <w:r>
        <w:rPr>
          <w:rStyle w:val="Character1"/>
        </w:rPr>
        <w:t>worsening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Dupa operatie fac insuficienta suprarenala si au nevoie de substitutie. De luat in considerare si la </w:t>
      </w:r>
      <w:r>
        <w:rPr>
          <w:rStyle w:val="Character1"/>
        </w:rPr>
        <w:t xml:space="preserve">incidentaloamele SR, indiferent de functia preop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Monitorizare imagistica la 6 luni ( unii recomanda la 3 resp 12 luni),  apoi anual 1-2 ani, test la dxm anual 4-5 </w:t>
      </w:r>
      <w:r>
        <w:rPr>
          <w:rStyle w:val="Character1"/>
        </w:rPr>
        <w:t xml:space="preserve">ani. Alta varianta ar fi monitorizare imagistica anuala 2-3 ani apoi la 2 ani pt cei intre 2-4cm care nu cresc, </w:t>
      </w:r>
      <w:r>
        <w:rPr>
          <w:rStyle w:val="Character1"/>
        </w:rPr>
        <w:t xml:space="preserve">hormonal anual si mai ales urmarire pt tulb. metab sec hipercorticismului. 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166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