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Valori crescute ale fT4,fT3 prin  "solid fase radioimmunoassay". Valori mici dupa extractia cu etanol.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Similar la metoda cu polyethylene glycol - valori mici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cazul folosirii unui singur anticorp in test --&gt; prezenta Ac determina rezultate fals scazute, pentru ca trasorul </w:t>
      </w:r>
      <w:r>
        <w:rPr>
          <w:rStyle w:val="Character0"/>
        </w:rPr>
        <w:t xml:space="preserve">(h ty marcat sau analog de) se leaga de autoAc si de Ac de test. Astfel incat testul detecteaza surplus se trasor </w:t>
      </w:r>
      <w:r>
        <w:rPr>
          <w:rStyle w:val="Character0"/>
        </w:rPr>
        <w:t xml:space="preserve">deci valori fals scazute de hormoni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Dg la pc cu ty autoimuna, un caz descris de neo ty postiod. In plus la pc cu boli autoimune non ty.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Incidenta variaza in functie de boala. In BB - pana la 20% cu unele metode. Depinde si de titru de anticorpi daca </w:t>
      </w:r>
      <w:r>
        <w:rPr>
          <w:rStyle w:val="Character0"/>
        </w:rPr>
        <w:t xml:space="preserve">au sau nu importanta clinica.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Studii recente, mai sensibile arata 1-7% in pop cu ty autoimuna si &lt;1,8% in pop generala. 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