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comments.xml" ContentType="application/vnd.openxmlformats-officedocument.wordprocessingml.comments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HIPOTY CONGENITAL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DISGENEZIE TY - risc de recidiva de aprox 2%, la cele la care nu cunosc defectul, au rude cu defecte </w:t>
      </w:r>
      <w:r>
        <w:rPr>
          <w:rStyle w:val="Character1"/>
        </w:rPr>
        <w:t xml:space="preserve">asimptomatice de pozitionare de tiroda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ectopie 66% cz = t ty restant pe ductul tireoglos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TTF2 - atrzie de cloaca, spiky hair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NKX 2.1 (= TTF2) - Coree benigna, ataxie, probleme respiratorii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NKX 2.5 - malformatii cardiace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PAX8 - malformatii renale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REZISTENTA LA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crz 15, aD, nelegate de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prot Gsalpha - pseudohipoPTH 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DISHORMONOGENEZA - 10-15% cz; autozomal recesive - risc de recidiva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autozomal recesiv/ dominant (rar) ; asociaza gusa dar care nu apare de la nastere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captare crescuta dar fara organificare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1! tiroid peroxidaza = defecte totale sau partiale de organificare, ar.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2! pendrina ( cotransportor iod si clor la nivelul ty si urechii interne)=sindr Pendred : hipoty gusogen cu </w:t>
      </w:r>
      <w:r>
        <w:rPr>
          <w:rStyle w:val="Character1"/>
        </w:rPr>
        <w:t>surditate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3! dualoxidaza 2= defect de organificare prin deficit de hidrogen peroxide; aD, tranzitor sau definitiv, total sau </w:t>
      </w:r>
      <w:r>
        <w:rPr>
          <w:rStyle w:val="Character1"/>
        </w:rPr>
        <w:t>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4! factorul de maturare al dualoxidazei - rar,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5! rar: defecte de tiroglobulina, defecte de conversie periferica T4 --》T3,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HIPOTY CENTRAL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- asociat cu malformatii de linie mediana= sindr optochiasmatic, cleft palate !!! Dc au hipoglicemie ( deficit </w:t>
      </w:r>
      <w:r>
        <w:rPr>
          <w:rStyle w:val="Character1"/>
        </w:rPr>
        <w:t xml:space="preserve">GH /ACTH) sau criptorhidie/micropenis(deficit de Fsh,LH) . RMN hipofiza, ex oftalmologic pt hipoplazie de n </w:t>
      </w:r>
      <w:r>
        <w:rPr>
          <w:rStyle w:val="Character1"/>
        </w:rPr>
        <w:t>optic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 gene implicate in dezvoltarea ty: PROP1, PIT1, HESX 1, LHX 3, LHX 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rezistenta la TRH prin mutatii ale genei receptor de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rezistenta la TSH prin mutatii la nivelul subunitatii beta a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MCT8 : TSH normal, T4 scazut, T3 crescut. retard mintal  si hipotonie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receptor beta a hh ty. T3, T4 usor crescuti, TSH nesupresat. clinic eutiroidieni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</w:t>
      </w:r>
      <w:commentRangeStart w:id="0"/>
      <w:commentRangeEnd w:id="0"/>
      <w:r>
        <w:rPr>
          <w:rStyle w:val="a4"/>
        </w:rPr>
        <w:commentReference w:id="0"/>
      </w:r>
      <w:r>
        <w:rPr>
          <w:rStyle w:val="Character1"/>
        </w:rPr>
        <w:t xml:space="preserve">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iod, mai frecvent in europa,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☆exces de iod matern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amiodarona in sarcina - efect pana la 6 luni, efecte adverse neurologice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antiseptice cu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substanta de contrast iodata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exces de iod la nn,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trt cu ATS la mama - dureaza pana in 2 sapt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Ac blocanti de recptor de TSH de la mama, efectul poate dura pana la 6 luni, rari 1: 100.000 nn; caut dc </w:t>
      </w:r>
      <w:r>
        <w:rPr>
          <w:rStyle w:val="Character1"/>
        </w:rPr>
        <w:t xml:space="preserve">mama are b ty autoimuna si frate mai mare a avut 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hemangioame hepatice congenitale- secreta cant crescute de revers deiodinaza. T4 scazut, TSH crescut, rT3 </w:t>
      </w:r>
      <w:r>
        <w:rPr>
          <w:rStyle w:val="Character1"/>
        </w:rPr>
        <w:t xml:space="preserve">crescut, se amelioreaza dc se trt tumora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☆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teste de screenig fie prin TSH, fie prin fT4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Apoi confirmare si trt. Eventual teste pt cauza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1.   radiocaptare cu I123 sau Tc99 ( NU I131 - iradiere mai mare) - pt disgenezii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lipsa de captare in: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☆agenezie ty - Tgl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☆mutatii de rec de TSH inactivatoare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mutatii de TSH beta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Ac blocanti materni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defecte de captare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completez cu eco si dozare de Tgl, TRAb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glanda mare in pozitie normala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defecte de organificare. Tgl crescuta cu exc mutatiilor de Tgl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■gld mica in poz normala - hipogenezie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gld in pozitie ectopica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Tgl, Ac blocanti de rec TSH.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Iodurie pe 24 ore, mai ales la nn din zona endemica care au fost expusi la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DIAGNOSTIC PRENATAL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genetica in cazuri selectionate pt dishormonogenezii, sau dozare deTSH din lichidul amniotic si din sangele de </w:t>
      </w:r>
      <w:r>
        <w:rPr>
          <w:rStyle w:val="Character1"/>
        </w:rPr>
        <w:t xml:space="preserve">cordonul ombilical. Risc: infectii, sangerare, avort.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- injectare de LT4 in lichidul amniotic, 250 mmg (max 600 mmg) pe saptmana. Nu e clar daca are chiar </w:t>
      </w:r>
      <w:r>
        <w:rPr>
          <w:rStyle w:val="Character1"/>
        </w:rPr>
        <w:t xml:space="preserve">efect, pt ca initierea trt in primele2-4 sapt de viata duce la dezvoltare neurologica normala.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early &amp; sufficient trt pt a optimiza IQ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initiez trt dupa ce recoltez testele de confitmare, fara sa astept rezultatul, doar pe baza sceeningului.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 preferat tb fata de picaturi ( mai ales daca sunt magistrale). Se paseaza si se administreaza cu lapte, apa sau </w:t>
      </w:r>
      <w:r>
        <w:rPr>
          <w:rStyle w:val="Character1"/>
        </w:rPr>
        <w:t xml:space="preserve">formula. NU se administreaza cu soia pt ca nu se absoarbe ( se administreaza intre mese in acest caz).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soia, calciu, fier, hidroxid de aluminiu, sucralfat, fibre, cloestiramine care interfera cu absorbtia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Doza 10-15mcg/kg /day = 37,5-50mcg pe zi pt un nn la termen, chiar doze ceva mai mari pt cei cu fT4 </w:t>
      </w:r>
      <w:r>
        <w:rPr>
          <w:rStyle w:val="Character1"/>
        </w:rPr>
        <w:t xml:space="preserve">&lt;5mmg/dl(12-17 mcg/kgc/zi). Cu cat normalizez T4 mai repede cu atat mai bine, o intarziere de 1 saptamana </w:t>
      </w:r>
      <w:r>
        <w:rPr>
          <w:rStyle w:val="Character1"/>
        </w:rPr>
        <w:t xml:space="preserve">inseamna 11 puncte de IQ. Scopul este ca in primul an de viata sa am TSH-ul &lt;5 si fT4/T4 in jumatatea de sus a </w:t>
      </w:r>
      <w:r>
        <w:rPr>
          <w:rStyle w:val="Character1"/>
        </w:rPr>
        <w:t xml:space="preserve">normalului. Nu supratratez - risc de hiperactivitate, agresivitate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Monitorizez la 6 sapt primele 6 luni, la 3 luni pana la 3 ani apoi la 6 luni pana la terminarea cresterii. Masor la 2  </w:t>
      </w:r>
      <w:r>
        <w:rPr>
          <w:rStyle w:val="Character1"/>
        </w:rPr>
        <w:t xml:space="preserve">si la 4 saptamani dupa initiere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sunt sigur ca e definitiv sau tranzitor - la 3 ani fac pauza 1 luna de trt si masor T4 si TSH. Chiar daca e </w:t>
      </w:r>
      <w:r>
        <w:rPr>
          <w:rStyle w:val="Character1"/>
        </w:rPr>
        <w:t xml:space="preserve">tranzitor, monitorizez clinic si la nevoie hormonal, frecvent, pot face recaderi in timpul pubertatii sau sarcinii.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 Hipoty sever, din agenezie sau dishormonogenezii se poate asocia cu efecte negative neurologice in utero si </w:t>
      </w:r>
      <w:r>
        <w:rPr>
          <w:rStyle w:val="Character1"/>
        </w:rPr>
        <w:t xml:space="preserve">au IQ mai mic, mai ales dc sunt inceputi tarziu si cu doze mici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!!!! Noncomplianta in primii 3 ani de viata afecteaza IQ -ul ireversibil, dupa aceea reversibil. Noncomplianta e </w:t>
      </w:r>
      <w:r>
        <w:rPr>
          <w:rStyle w:val="Character1"/>
        </w:rPr>
        <w:t xml:space="preserve">frecventa in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MCT 8= Sindromul Allan–Herndon–Dudley - retard motor si mental sever X- linkat.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Profil hormonal caracteristic: T3, FT3 +; T4, FT4 -/N; TSH N/+; rT3 -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Determinat de mutatii MCT8 = mono carboxylate transport 8. Care transporta hh ty intracelular. nu este singurul </w:t>
      </w:r>
      <w:r>
        <w:rPr>
          <w:rStyle w:val="Character0"/>
        </w:rPr>
        <w:t xml:space="preserve">mod de transport in ficat/rinichi, dar este singurul in SNC la oameni. la soareci este asociat cu OATP1C1 si </w:t>
      </w:r>
      <w:r>
        <w:rPr>
          <w:rStyle w:val="Character0"/>
        </w:rPr>
        <w:t xml:space="preserve">LAT 2 (L-type amino acid transporters (LAT) 2 and the Na+-independent organic anion transporting </w:t>
      </w:r>
      <w:r>
        <w:rPr>
          <w:rStyle w:val="Character0"/>
        </w:rPr>
        <w:t xml:space="preserve">polypeptide (OATP) 1C1).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200 cazuri din 100 familii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70 mutatii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exista corelatie fenotip si cariotip, mutatiile care mai pastreaza ceva activitate determina un fenotip ce permite </w:t>
      </w:r>
      <w:r>
        <w:rPr>
          <w:rStyle w:val="Character0"/>
        </w:rPr>
        <w:t xml:space="preserve">mers atacis si limbaj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au fost descrise mutatii care afecteaza transportul pana la membrana a MCT8, cu fenotip similar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variante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1. Propilthyouracil (blocheaza conversia T3 in T4) 200-400 mg pe zi, apoi dupa 1 luna LT4 100 mcg (??) pe 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normalizeaza profilul hormonal si amelioreza semnele de hiperty. nu are efect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2. analog de hh ty= DITPA, administrat in doze progresive normalizeaza profilul hormonal si metabolic ( scade </w:t>
      </w:r>
      <w:r>
        <w:rPr>
          <w:rStyle w:val="Character0"/>
        </w:rPr>
        <w:t xml:space="preserve">SHBG, feritina, pulsul). discreta ameliorare neurologica, probabil prin amliorarea profilului metabolic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1,8-2,4 mg/kc/zi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3.  TETRAC (3,3’, 5,5’-tetraiodothyroacetic acid) - un derivat de T4 nu necesita MCT 8pt transportul ic, unde </w:t>
      </w:r>
      <w:r>
        <w:rPr>
          <w:rStyle w:val="Character0"/>
        </w:rPr>
        <w:t xml:space="preserve">este activat in TRIAC si stimuleaza rec de hh ty. nu are efect pe statusul metabolic dar amelioreaza partial </w:t>
      </w:r>
      <w:r>
        <w:rPr>
          <w:rStyle w:val="Character0"/>
        </w:rPr>
        <w:t xml:space="preserve">dezvoltarea neurologica administrat de la nastere la soareci ko pt MCT 8 si OATP1C1 ( sistemele de transport ic </w:t>
      </w:r>
      <w:r>
        <w:rPr>
          <w:rStyle w:val="Character0"/>
        </w:rPr>
        <w:t xml:space="preserve">ale hh ty).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4-12-23T23:51:34Z">
    <w:p>
      <w:r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18"/>
    </w:rPr>
  </w:style>
</w:styles>
</file>

<file path=word/stylesWithEffect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microsoft.com/office/2007/relationships/stylesWithEffects" Target="stylesWithEffects.xml"></Relationship><Relationship Id="rId6" Type="http://schemas.openxmlformats.org/officeDocument/2006/relationships/comments" Target="comment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