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HIPOTIROIDISM LA COPII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congenital : agenezie ty, ectopie ty, mutatii genetice pe enzimele formarii hh ty/ captarii iodului. 1:3500 nn,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Hipotiroidism secundar al nn (afectare hipofizara sau hiootalamica) 1 :60.000-140.000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sz w:val="20"/>
        </w:rPr>
        <w:pict>
          <v:shapetype id="_x0000_t202" coordsize="21600,21600" o:spt="202" path="m,l,21600r21600,l21600,xe">
            <v:stroke joinstyle="miter"/>
          </v:shapetype>
          <v:shape id="_x0000_s9" type="#_x0000_t202" style="position:absolute;left:0;margin-left:-39pt;margin-top:9pt;width:544pt;height:685pt;z-index:251624961;mso-position-horizontal-relative:margin;mso-position-vertical-relative:line" stroked="f" filled="f">
            <v:textbox style="v-text-anchor:top" inset="3,1,3,1">
              <w:txbxContent>
                <w:p>
                  <w:pPr>
                    <w:pStyle w:val="Para2"/>
                    <w:spacing w:line="250" w:lineRule="auto" w:after="180"/>
                    <w:ind w:left="0" w:hanging="0"/>
                    <w:rPr>
                      <w:sz w:val="20"/>
                      <w:szCs w:val="20"/>
                      <w:rFonts w:ascii="Times New Roman" w:eastAsia="Times New Roman" w:hAnsi="Times New Roman"/>
                    </w:rPr>
                  </w:pP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Approximately 75% of infants with congenital hypothyroidism have defects in thyroid gland development, 10% have hereditary </w:t>
                  </w: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defects in thyroid hormone synthesis or uptake, 5% have secondary (pituitary) or tertiary (hypothalamus) hypothyroidism, and 10% </w:t>
                  </w: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have transient hypothyroidism.</w:t>
                  </w:r>
                </w:p>
                <w:p>
                  <w:pPr>
                    <w:pStyle w:val="a3"/>
                    <w:numPr>
                      <w:ilvl w:val="0"/>
                      <w:numId w:val="1"/>
                    </w:numPr>
                    <w:jc w:val="left"/>
                    <w:spacing w:line="312" w:lineRule="auto"/>
                    <w:ind w:left="400" w:hanging="400"/>
                    <w:rPr>
                      <w:shd w:val="clear" w:color="auto" w:fill="FFFFFF"/>
                      <w:sz w:val="20"/>
                      <w:szCs w:val="20"/>
                      <w:rFonts w:ascii="arial" w:eastAsia="arial" w:hAnsi="arial"/>
                    </w:rPr>
                  </w:pPr>
                </w:p>
                <w:p>
                  <w:pPr>
                    <w:pStyle w:val="Para0"/>
                    <w:spacing w:line="312" w:lineRule="auto"/>
                    <w:ind w:left="0" w:hanging="0"/>
                    <w:rPr>
                      <w:sz w:val="18"/>
                      <w:szCs w:val="18"/>
                      <w:shd w:val="clear" w:color="auto" w:fill="FFFFFF"/>
                      <w:sz w:val="18"/>
                      <w:szCs w:val="18"/>
                      <w:rFonts w:ascii="arial" w:eastAsia="arial" w:hAnsi="arial"/>
                    </w:rPr>
                  </w:pP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Thyroid dysgenesis: Defective thyroid gland development accounts for most instances of congenital hypothyroidism. Thyroid </w:t>
                  </w: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dysgenesis occurs sporadically in most cases but is occasionally familial because of mutations or deletions of genes (</w:t>
                  </w:r>
                  <w:r>
                    <w:rPr>
                      <w:rStyle w:val="Character8"/>
                      <w:i/>
                      <w:sz w:val="18"/>
                      <w:szCs w:val="18"/>
                      <w:shd w:val="clear" w:color="auto" w:fill="FFFFFF"/>
                    </w:rPr>
                    <w:t>TSHR</w:t>
                  </w: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, </w:t>
                  </w:r>
                  <w:r>
                    <w:rPr>
                      <w:rStyle w:val="Character8"/>
                      <w:i/>
                      <w:sz w:val="18"/>
                      <w:szCs w:val="18"/>
                      <w:shd w:val="clear" w:color="auto" w:fill="FFFFFF"/>
                    </w:rPr>
                    <w:t>PAX8</w:t>
                  </w: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, </w:t>
                  </w:r>
                  <w:r>
                    <w:rPr>
                      <w:rStyle w:val="Character8"/>
                      <w:i/>
                      <w:sz w:val="18"/>
                      <w:szCs w:val="18"/>
                      <w:shd w:val="clear" w:color="auto" w:fill="FFFFFF"/>
                    </w:rPr>
                    <w:t>NKX2-1</w:t>
                  </w: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, </w:t>
                  </w:r>
                  <w:r>
                    <w:rPr>
                      <w:rStyle w:val="Character8"/>
                      <w:i/>
                      <w:sz w:val="18"/>
                      <w:szCs w:val="18"/>
                      <w:shd w:val="clear" w:color="auto" w:fill="FFFFFF"/>
                    </w:rPr>
                    <w:t>FOXE1</w:t>
                  </w: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, and </w:t>
                  </w:r>
                  <w:r>
                    <w:rPr>
                      <w:rStyle w:val="Character8"/>
                      <w:i/>
                      <w:sz w:val="18"/>
                      <w:szCs w:val="18"/>
                      <w:shd w:val="clear" w:color="auto" w:fill="FFFFFF"/>
                    </w:rPr>
                    <w:t>NKX2-5</w:t>
                  </w: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) that are involved in fetal thyroid formation. Thyroid dysgenesis ranges in severity from thyroid aplasia </w:t>
                  </w: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or hypoplasia to functional ectopic thyroid tissue. Approximately 40-60% of infants with thyroid gland dysgenesis have some </w:t>
                  </w: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functioning tissue. Laboratory and imaging studies facilitate the determination of the degree of dysgenesis. Thyroid agenesis is </w:t>
                  </w: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suggested by a low serum T4 level with an elevated serum TSH level and undetectable serum thyroglobulin. Newborns with ectopic </w:t>
                  </w: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or hypoplastic thyroid glands manifest low serum T4, elevated serum TSH, and measurable levels of circulating thyroglobulin. </w:t>
                  </w: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Imaging aids in confirming the diagnosis of aplastic, hypoplastic, or ectopic thyroid.</w:t>
                  </w:r>
                </w:p>
                <w:p>
                  <w:pPr>
                    <w:pStyle w:val="a3"/>
                    <w:numPr>
                      <w:ilvl w:val="0"/>
                      <w:numId w:val="2"/>
                    </w:numPr>
                    <w:jc w:val="left"/>
                    <w:spacing w:line="312" w:lineRule="auto"/>
                    <w:ind w:left="400" w:hanging="400"/>
                    <w:rPr>
                      <w:shd w:val="clear" w:color="auto" w:fill="FFFFFF"/>
                      <w:sz w:val="20"/>
                      <w:szCs w:val="20"/>
                      <w:rFonts w:ascii="arial" w:eastAsia="arial" w:hAnsi="arial"/>
                    </w:rPr>
                  </w:pPr>
                </w:p>
                <w:p>
                  <w:pPr>
                    <w:pStyle w:val="Para0"/>
                    <w:spacing w:line="312" w:lineRule="auto"/>
                    <w:ind w:left="0" w:hanging="0"/>
                    <w:rPr>
                      <w:sz w:val="18"/>
                      <w:szCs w:val="18"/>
                      <w:shd w:val="clear" w:color="auto" w:fill="FFFFFF"/>
                      <w:sz w:val="18"/>
                      <w:szCs w:val="18"/>
                      <w:rFonts w:ascii="arial" w:eastAsia="arial" w:hAnsi="arial"/>
                    </w:rPr>
                  </w:pP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Familial thyroid dyshormonogenesis: Rare autosomal recessive inborn errors of thyroid hormone synthesis, secretion, or uptake also </w:t>
                  </w: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cause congenital hypothyroidism. The following 8 inborn errors have been identified:</w:t>
                  </w:r>
                </w:p>
                <w:p>
                  <w:pPr>
                    <w:pStyle w:val="a3"/>
                    <w:numPr>
                      <w:ilvl w:val="0"/>
                      <w:numId w:val="3"/>
                    </w:numPr>
                    <w:jc w:val="left"/>
                    <w:spacing w:line="312" w:lineRule="auto"/>
                    <w:ind w:left="400" w:hanging="400"/>
                    <w:rPr>
                      <w:shd w:val="clear" w:color="auto" w:fill="FFFFFF"/>
                      <w:sz w:val="20"/>
                      <w:szCs w:val="20"/>
                      <w:rFonts w:ascii="arial" w:eastAsia="arial" w:hAnsi="arial"/>
                    </w:rPr>
                  </w:pP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Failure to respond to TSH secondary to defective activation of the thyroid receptor and related cyclic adenosine </w:t>
                  </w: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monophosphate (cAMP) signal transduction pathway</w:t>
                  </w:r>
                </w:p>
                <w:p>
                  <w:pPr>
                    <w:pStyle w:val="a3"/>
                    <w:numPr>
                      <w:ilvl w:val="0"/>
                      <w:numId w:val="4"/>
                    </w:numPr>
                    <w:jc w:val="left"/>
                    <w:spacing w:line="312" w:lineRule="auto"/>
                    <w:ind w:left="400" w:hanging="400"/>
                    <w:rPr>
                      <w:shd w:val="clear" w:color="auto" w:fill="FFFFFF"/>
                      <w:sz w:val="20"/>
                      <w:szCs w:val="20"/>
                      <w:rFonts w:ascii="arial" w:eastAsia="arial" w:hAnsi="arial"/>
                    </w:rPr>
                  </w:pP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Defect in trapping of iodide secondary to sodium-iodide symporter failure</w:t>
                  </w:r>
                </w:p>
                <w:p>
                  <w:pPr>
                    <w:pStyle w:val="a3"/>
                    <w:numPr>
                      <w:ilvl w:val="0"/>
                      <w:numId w:val="4"/>
                    </w:numPr>
                    <w:jc w:val="left"/>
                    <w:spacing w:line="312" w:lineRule="auto"/>
                    <w:ind w:left="400" w:hanging="400"/>
                    <w:rPr>
                      <w:shd w:val="clear" w:color="auto" w:fill="FFFFFF"/>
                      <w:sz w:val="20"/>
                      <w:szCs w:val="20"/>
                      <w:rFonts w:ascii="arial" w:eastAsia="arial" w:hAnsi="arial"/>
                    </w:rPr>
                  </w:pP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Defective oxidation of iodide to iodine secondary to thyroid peroxidase deficiency</w:t>
                  </w:r>
                </w:p>
                <w:p>
                  <w:pPr>
                    <w:pStyle w:val="a3"/>
                    <w:numPr>
                      <w:ilvl w:val="0"/>
                      <w:numId w:val="4"/>
                    </w:numPr>
                    <w:jc w:val="left"/>
                    <w:spacing w:line="312" w:lineRule="auto"/>
                    <w:ind w:left="400" w:hanging="400"/>
                    <w:rPr>
                      <w:shd w:val="clear" w:color="auto" w:fill="FFFFFF"/>
                      <w:sz w:val="20"/>
                      <w:szCs w:val="20"/>
                      <w:rFonts w:ascii="arial" w:eastAsia="arial" w:hAnsi="arial"/>
                    </w:rPr>
                  </w:pP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Defective coupling of iodotyrosines</w:t>
                  </w:r>
                </w:p>
                <w:p>
                  <w:pPr>
                    <w:pStyle w:val="a3"/>
                    <w:numPr>
                      <w:ilvl w:val="0"/>
                      <w:numId w:val="4"/>
                    </w:numPr>
                    <w:jc w:val="left"/>
                    <w:spacing w:line="312" w:lineRule="auto"/>
                    <w:ind w:left="400" w:hanging="400"/>
                    <w:rPr>
                      <w:shd w:val="clear" w:color="auto" w:fill="FFFFFF"/>
                      <w:sz w:val="20"/>
                      <w:szCs w:val="20"/>
                      <w:rFonts w:ascii="arial" w:eastAsia="arial" w:hAnsi="arial"/>
                    </w:rPr>
                  </w:pP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Deiodination defects</w:t>
                  </w:r>
                </w:p>
                <w:p>
                  <w:pPr>
                    <w:pStyle w:val="a3"/>
                    <w:numPr>
                      <w:ilvl w:val="0"/>
                      <w:numId w:val="4"/>
                    </w:numPr>
                    <w:jc w:val="left"/>
                    <w:spacing w:line="312" w:lineRule="auto"/>
                    <w:ind w:left="400" w:hanging="400"/>
                    <w:rPr>
                      <w:shd w:val="clear" w:color="auto" w:fill="FFFFFF"/>
                      <w:sz w:val="20"/>
                      <w:szCs w:val="20"/>
                      <w:rFonts w:ascii="arial" w:eastAsia="arial" w:hAnsi="arial"/>
                    </w:rPr>
                  </w:pP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Defective thyroglobulin synthesis</w:t>
                  </w:r>
                </w:p>
                <w:p>
                  <w:pPr>
                    <w:pStyle w:val="a3"/>
                    <w:numPr>
                      <w:ilvl w:val="0"/>
                      <w:numId w:val="4"/>
                    </w:numPr>
                    <w:jc w:val="left"/>
                    <w:spacing w:line="312" w:lineRule="auto"/>
                    <w:ind w:left="400" w:hanging="400"/>
                    <w:rPr>
                      <w:shd w:val="clear" w:color="auto" w:fill="FFFFFF"/>
                      <w:sz w:val="20"/>
                      <w:szCs w:val="20"/>
                      <w:rFonts w:ascii="arial" w:eastAsia="arial" w:hAnsi="arial"/>
                    </w:rPr>
                  </w:pP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Defective proteolysis of thyroglobulin</w:t>
                  </w:r>
                </w:p>
                <w:p>
                  <w:pPr>
                    <w:pStyle w:val="a3"/>
                    <w:numPr>
                      <w:ilvl w:val="0"/>
                      <w:numId w:val="4"/>
                    </w:numPr>
                    <w:jc w:val="left"/>
                    <w:spacing w:line="312" w:lineRule="auto"/>
                    <w:ind w:left="400" w:hanging="400"/>
                    <w:rPr>
                      <w:shd w:val="clear" w:color="auto" w:fill="FFFFFF"/>
                      <w:sz w:val="20"/>
                      <w:szCs w:val="20"/>
                      <w:rFonts w:ascii="arial" w:eastAsia="arial" w:hAnsi="arial"/>
                    </w:rPr>
                  </w:pP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Release of T3 and T4 into the circulation</w:t>
                  </w:r>
                </w:p>
                <w:p>
                  <w:pPr>
                    <w:pStyle w:val="a3"/>
                    <w:numPr>
                      <w:ilvl w:val="0"/>
                      <w:numId w:val="4"/>
                    </w:numPr>
                    <w:jc w:val="left"/>
                    <w:spacing w:line="312" w:lineRule="auto"/>
                    <w:ind w:left="400" w:hanging="400"/>
                    <w:rPr>
                      <w:shd w:val="clear" w:color="auto" w:fill="FFFFFF"/>
                      <w:sz w:val="20"/>
                      <w:szCs w:val="20"/>
                      <w:rFonts w:ascii="arial" w:eastAsia="arial" w:hAnsi="arial"/>
                    </w:rPr>
                  </w:pPr>
                </w:p>
                <w:p>
                  <w:pPr>
                    <w:pStyle w:val="Para0"/>
                    <w:spacing w:line="312" w:lineRule="auto"/>
                    <w:ind w:left="0" w:hanging="0"/>
                    <w:rPr>
                      <w:sz w:val="18"/>
                      <w:szCs w:val="18"/>
                      <w:shd w:val="clear" w:color="auto" w:fill="FFFFFF"/>
                      <w:sz w:val="18"/>
                      <w:szCs w:val="18"/>
                      <w:rFonts w:ascii="arial" w:eastAsia="arial" w:hAnsi="arial"/>
                    </w:rPr>
                  </w:pP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Partial peripheral resistance to thyroid hormones (autosomal dominant defect): Patients relate a family history of goiter with </w:t>
                  </w: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euthyroidism or hypothyroidism in the face of elevated serum levels of T4 or T3 but nonsuppressed serum TSH concentrations.</w:t>
                  </w:r>
                </w:p>
                <w:p>
                  <w:pPr>
                    <w:pStyle w:val="a3"/>
                    <w:numPr>
                      <w:ilvl w:val="0"/>
                      <w:numId w:val="4"/>
                    </w:numPr>
                    <w:jc w:val="left"/>
                    <w:spacing w:line="312" w:lineRule="auto"/>
                    <w:ind w:left="400" w:hanging="400"/>
                    <w:rPr>
                      <w:shd w:val="clear" w:color="auto" w:fill="FFFFFF"/>
                      <w:sz w:val="20"/>
                      <w:szCs w:val="20"/>
                      <w:rFonts w:ascii="arial" w:eastAsia="arial" w:hAnsi="arial"/>
                    </w:rPr>
                  </w:pPr>
                </w:p>
                <w:p>
                  <w:pPr>
                    <w:pStyle w:val="Para0"/>
                    <w:spacing w:line="312" w:lineRule="auto"/>
                    <w:ind w:left="0" w:hanging="0"/>
                    <w:rPr>
                      <w:sz w:val="18"/>
                      <w:szCs w:val="18"/>
                      <w:shd w:val="clear" w:color="auto" w:fill="FFFFFF"/>
                      <w:sz w:val="18"/>
                      <w:szCs w:val="18"/>
                      <w:rFonts w:ascii="arial" w:eastAsia="arial" w:hAnsi="arial"/>
                    </w:rPr>
                  </w:pP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>Hypopituitarism</w:t>
                  </w:r>
                </w:p>
                <w:p>
                  <w:pPr>
                    <w:pStyle w:val="a3"/>
                    <w:numPr>
                      <w:ilvl w:val="0"/>
                      <w:numId w:val="4"/>
                    </w:numPr>
                    <w:jc w:val="left"/>
                    <w:spacing w:line="312" w:lineRule="auto"/>
                    <w:ind w:left="400" w:hanging="400"/>
                    <w:rPr>
                      <w:shd w:val="clear" w:color="auto" w:fill="FFFFFF"/>
                      <w:sz w:val="20"/>
                      <w:szCs w:val="20"/>
                      <w:rFonts w:ascii="arial" w:eastAsia="arial" w:hAnsi="arial"/>
                    </w:rPr>
                  </w:pPr>
                </w:p>
                <w:p>
                  <w:pPr>
                    <w:pStyle w:val="Para0"/>
                    <w:spacing w:line="312" w:lineRule="auto"/>
                    <w:ind w:left="0" w:hanging="0"/>
                    <w:rPr>
                      <w:sz w:val="18"/>
                      <w:szCs w:val="18"/>
                      <w:shd w:val="clear" w:color="auto" w:fill="FFFFFF"/>
                      <w:sz w:val="18"/>
                      <w:szCs w:val="18"/>
                      <w:rFonts w:ascii="arial" w:eastAsia="arial" w:hAnsi="arial"/>
                    </w:rPr>
                  </w:pP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Transplacental passage of maternal TSH-binding inhibitory antibodies: This can cause transient neonatal hypothyroidism. In mothers </w:t>
                  </w: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with autoimmune thyroiditis, immunoglobulin G (IgG) antithyroid antibodies can be transmitted across the placenta. These antibodies </w:t>
                  </w: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block binding of TSH to its receptor on the fetal thyroid. The half-life of these antibodies is approximately 1 week, and this form of </w:t>
                  </w: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congenital hypothyroidism usually resolves within 2-3 months of life. Although these infants are asymptomatic, they require thyroid </w:t>
                  </w: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hormone replacement until the pituitary-thyroid axis recovers. Monitoring the infant's serum titer of maternal antibodies is </w:t>
                  </w: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unnecessary, although monitoring serum TSH values is essential for guiding therapy.</w:t>
                  </w:r>
                </w:p>
                <w:p>
                  <w:pPr>
                    <w:pStyle w:val="a3"/>
                    <w:numPr>
                      <w:ilvl w:val="0"/>
                      <w:numId w:val="4"/>
                    </w:numPr>
                    <w:jc w:val="left"/>
                    <w:spacing w:line="312" w:lineRule="auto"/>
                    <w:ind w:left="400" w:hanging="400"/>
                    <w:rPr>
                      <w:shd w:val="clear" w:color="auto" w:fill="FFFFFF"/>
                      <w:sz w:val="20"/>
                      <w:szCs w:val="20"/>
                      <w:rFonts w:ascii="arial" w:eastAsia="arial" w:hAnsi="arial"/>
                    </w:rPr>
                  </w:pPr>
                </w:p>
                <w:p>
                  <w:pPr>
                    <w:pStyle w:val="Para0"/>
                    <w:spacing w:line="312" w:lineRule="auto"/>
                    <w:ind w:left="0" w:hanging="0"/>
                    <w:rPr>
                      <w:sz w:val="18"/>
                      <w:szCs w:val="18"/>
                      <w:shd w:val="clear" w:color="auto" w:fill="FFFFFF"/>
                      <w:sz w:val="18"/>
                      <w:szCs w:val="18"/>
                      <w:rFonts w:ascii="arial" w:eastAsia="arial" w:hAnsi="arial"/>
                    </w:rPr>
                  </w:pP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Maternal exposure to radioiodine: The fetal thyroid is able to trap iodide by 70-75 days' gestation. Hypothyroidism can develop if the </w:t>
                  </w: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mother is exposed to radioiodine to treat Graves disease or thyroid carcinoma.</w:t>
                  </w:r>
                </w:p>
                <w:p>
                  <w:pPr>
                    <w:pStyle w:val="a3"/>
                    <w:numPr>
                      <w:ilvl w:val="0"/>
                      <w:numId w:val="4"/>
                    </w:numPr>
                    <w:jc w:val="left"/>
                    <w:spacing w:line="312" w:lineRule="auto"/>
                    <w:ind w:left="400" w:hanging="400"/>
                    <w:rPr>
                      <w:shd w:val="clear" w:color="auto" w:fill="FFFFFF"/>
                      <w:sz w:val="20"/>
                      <w:szCs w:val="20"/>
                      <w:rFonts w:ascii="arial" w:eastAsia="arial" w:hAnsi="arial"/>
                    </w:rPr>
                  </w:pPr>
                </w:p>
                <w:p>
                  <w:pPr>
                    <w:pStyle w:val="Para0"/>
                    <w:spacing w:line="312" w:lineRule="auto"/>
                    <w:ind w:left="0" w:hanging="0"/>
                    <w:rPr>
                      <w:sz w:val="18"/>
                      <w:szCs w:val="18"/>
                      <w:shd w:val="clear" w:color="auto" w:fill="FFFFFF"/>
                      <w:sz w:val="18"/>
                      <w:szCs w:val="18"/>
                      <w:rFonts w:ascii="arial" w:eastAsia="arial" w:hAnsi="arial"/>
                    </w:rPr>
                  </w:pP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Goitrogens: These include iodides found in certain asthma medications, amiodarone, neonatal exposure to iodine-containing </w:t>
                  </w: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antiseptics, propylthiouracil, or methimazole.</w:t>
                  </w:r>
                </w:p>
              </w:txbxContent>
            </v:textbox>
          </v:shape>
        </w:pic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sz w:val="20"/>
        </w:rPr>
        <w:pict>
          <v:shapetype id="_x0000_t202" coordsize="21600,21600" o:spt="202" path="m,l,21600r21600,l21600,xe">
            <v:stroke joinstyle="miter"/>
          </v:shapetype>
          <v:shape id="_x0000_s10" type="#_x0000_t202" style="position:absolute;left:0;margin-left:-5pt;width:0pt;height:16pt;z-index:251624960;mso-position-horizontal-relative:margin;mso-position-vertical-relative:line" stroked="f" filled="f">
            <v:textbox style="mso-fit-shape-to-text:t;v-text-anchor:top" inset="3,1,3,1">
              <w:txbxContent>
                <w:p>
                  <w:pPr>
                    <w:pStyle w:val="Para2"/>
                    <w:spacing w:line="250" w:lineRule="auto" w:after="180"/>
                    <w:ind w:left="0" w:hanging="0"/>
                    <w:rPr>
                      <w:sz w:val="20"/>
                      <w:szCs w:val="20"/>
                      <w:rFonts w:ascii="Times New Roman" w:eastAsia="Times New Roman" w:hAnsi="Times New Roman"/>
                    </w:rPr>
                  </w:pP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>A</w:t>
                  </w: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pproximately 75% of infants with congenital hypothyroidism have defects in thyroid gland development, 10% have</w:t>
                  </w: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 hereditary defects in thyroid hormone synthesis or uptake, 5% have secondary (pituitary) or tertiary (hypothalamus</w:t>
                  </w: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) hypothyroidism, and 10% have transient hypothyroidism.</w:t>
                  </w:r>
                </w:p>
                <w:p>
                  <w:pPr>
                    <w:pStyle w:val="a3"/>
                    <w:numPr>
                      <w:ilvl w:val="0"/>
                      <w:numId w:val="4"/>
                    </w:numPr>
                    <w:jc w:val="left"/>
                    <w:spacing w:line="312" w:lineRule="auto"/>
                    <w:ind w:left="400" w:hanging="400"/>
                    <w:rPr>
                      <w:shd w:val="clear" w:color="auto" w:fill="FFFFFF"/>
                      <w:sz w:val="20"/>
                      <w:szCs w:val="20"/>
                      <w:rFonts w:ascii="arial" w:eastAsia="arial" w:hAnsi="arial"/>
                    </w:rPr>
                  </w:pPr>
                </w:p>
                <w:p>
                  <w:pPr>
                    <w:pStyle w:val="Para0"/>
                    <w:spacing w:line="312" w:lineRule="auto"/>
                    <w:ind w:left="0" w:hanging="0"/>
                    <w:rPr>
                      <w:sz w:val="18"/>
                      <w:szCs w:val="18"/>
                      <w:shd w:val="clear" w:color="auto" w:fill="FFFFFF"/>
                      <w:sz w:val="18"/>
                      <w:szCs w:val="18"/>
                      <w:rFonts w:ascii="arial" w:eastAsia="arial" w:hAnsi="arial"/>
                    </w:rPr>
                  </w:pP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Thyroid dysgenesis: Defective thyroid gland development accounts for most instances of congenital hypothyroidism</w:t>
                  </w: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. Thyroid dysgenesis occurs sporadically in most cases but is occasionally familial because of mutations or deletion</w:t>
                  </w: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s of genes (</w:t>
                  </w:r>
                  <w:r>
                    <w:rPr>
                      <w:rStyle w:val="Character8"/>
                      <w:i/>
                      <w:sz w:val="18"/>
                      <w:szCs w:val="18"/>
                      <w:shd w:val="clear" w:color="auto" w:fill="FFFFFF"/>
                    </w:rPr>
                    <w:t>TSHR</w:t>
                  </w: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, </w:t>
                  </w:r>
                  <w:r>
                    <w:rPr>
                      <w:rStyle w:val="Character8"/>
                      <w:i/>
                      <w:sz w:val="18"/>
                      <w:szCs w:val="18"/>
                      <w:shd w:val="clear" w:color="auto" w:fill="FFFFFF"/>
                    </w:rPr>
                    <w:t>PAX8</w:t>
                  </w: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, </w:t>
                  </w:r>
                  <w:r>
                    <w:rPr>
                      <w:rStyle w:val="Character8"/>
                      <w:i/>
                      <w:sz w:val="18"/>
                      <w:szCs w:val="18"/>
                      <w:shd w:val="clear" w:color="auto" w:fill="FFFFFF"/>
                    </w:rPr>
                    <w:t>NKX2-1</w:t>
                  </w: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, </w:t>
                  </w:r>
                  <w:r>
                    <w:rPr>
                      <w:rStyle w:val="Character8"/>
                      <w:i/>
                      <w:sz w:val="18"/>
                      <w:szCs w:val="18"/>
                      <w:shd w:val="clear" w:color="auto" w:fill="FFFFFF"/>
                    </w:rPr>
                    <w:t>FOXE1</w:t>
                  </w: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, and </w:t>
                  </w:r>
                  <w:r>
                    <w:rPr>
                      <w:rStyle w:val="Character8"/>
                      <w:i/>
                      <w:sz w:val="18"/>
                      <w:szCs w:val="18"/>
                      <w:shd w:val="clear" w:color="auto" w:fill="FFFFFF"/>
                    </w:rPr>
                    <w:t>NKX2-5</w:t>
                  </w: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) that are involved in fetal thyroid formation. Thyroid dysge</w:t>
                  </w: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nesis ranges in severity from thyroid aplasia or hypoplasia to functional ectopic thyroid tissue. Approximately 40-60</w:t>
                  </w: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% of infants with thyroid gland dysgenesis have some functioning tissue. Laboratory and imaging studies facilitate </w:t>
                  </w: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the determination of the degree of dysgenesis. Thyroid agenesis is suggested by a low serum T4 level with an elev</w:t>
                  </w: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ated serum TSH level and undetectable serum thyroglobulin. Newborns with ectopic or hypoplastic thyroid glands m</w:t>
                  </w: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anifest low serum T4, elevated serum TSH, and measurable levels of circulating thyroglobulin. Imaging aids in con</w:t>
                  </w: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firming the diagnosis of aplastic, hypoplastic, or ectopic thyroid.</w:t>
                  </w:r>
                </w:p>
                <w:p>
                  <w:pPr>
                    <w:pStyle w:val="a3"/>
                    <w:numPr>
                      <w:ilvl w:val="0"/>
                      <w:numId w:val="4"/>
                    </w:numPr>
                    <w:jc w:val="left"/>
                    <w:spacing w:line="312" w:lineRule="auto"/>
                    <w:ind w:left="400" w:hanging="400"/>
                    <w:rPr>
                      <w:shd w:val="clear" w:color="auto" w:fill="FFFFFF"/>
                      <w:sz w:val="20"/>
                      <w:szCs w:val="20"/>
                      <w:rFonts w:ascii="arial" w:eastAsia="arial" w:hAnsi="arial"/>
                    </w:rPr>
                  </w:pPr>
                </w:p>
                <w:p>
                  <w:pPr>
                    <w:pStyle w:val="Para0"/>
                    <w:spacing w:line="312" w:lineRule="auto"/>
                    <w:ind w:left="0" w:hanging="0"/>
                    <w:rPr>
                      <w:sz w:val="18"/>
                      <w:szCs w:val="18"/>
                      <w:shd w:val="clear" w:color="auto" w:fill="FFFFFF"/>
                      <w:sz w:val="18"/>
                      <w:szCs w:val="18"/>
                      <w:rFonts w:ascii="arial" w:eastAsia="arial" w:hAnsi="arial"/>
                    </w:rPr>
                  </w:pP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Familial thyroid dyshormonogenesis: Rare autosomal recessive inborn errors of thyroid hormone synthesis, secreti</w:t>
                  </w: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on, or uptake also cause congenital hypothyroidism. The following 8 inborn errors have been identified:</w:t>
                  </w:r>
                </w:p>
                <w:p>
                  <w:pPr>
                    <w:pStyle w:val="Para4"/>
                    <w:spacing w:line="312" w:lineRule="auto"/>
                    <w:ind w:left="400" w:hanging="400"/>
                    <w:rPr>
                      <w:shd w:val="clear" w:color="auto" w:fill="FFFFFF"/>
                      <w:sz w:val="20"/>
                      <w:szCs w:val="20"/>
                      <w:rFonts w:ascii="arial" w:eastAsia="arial" w:hAnsi="arial"/>
                    </w:rPr>
                  </w:pP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Failure to respond to TSH secondary to defective activation of the thyroid receptor and related cyclic adenosine mo</w:t>
                  </w: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nophosphate (cAMP) signal transduction pathway</w:t>
                  </w:r>
                </w:p>
                <w:p>
                  <w:pPr>
                    <w:pStyle w:val="a3"/>
                    <w:numPr>
                      <w:ilvl w:val="0"/>
                      <w:numId w:val="4"/>
                    </w:numPr>
                    <w:jc w:val="left"/>
                    <w:spacing w:line="312" w:lineRule="auto"/>
                    <w:ind w:left="400" w:hanging="400"/>
                    <w:rPr>
                      <w:shd w:val="clear" w:color="auto" w:fill="FFFFFF"/>
                      <w:sz w:val="20"/>
                      <w:szCs w:val="20"/>
                      <w:rFonts w:ascii="arial" w:eastAsia="arial" w:hAnsi="arial"/>
                    </w:rPr>
                  </w:pP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Defect in trapping of iodide secondary to sodium-iodide symporter failure</w:t>
                  </w:r>
                </w:p>
                <w:p>
                  <w:pPr>
                    <w:pStyle w:val="a3"/>
                    <w:numPr>
                      <w:ilvl w:val="0"/>
                      <w:numId w:val="4"/>
                    </w:numPr>
                    <w:jc w:val="left"/>
                    <w:spacing w:line="312" w:lineRule="auto"/>
                    <w:ind w:left="400" w:hanging="400"/>
                    <w:rPr>
                      <w:shd w:val="clear" w:color="auto" w:fill="FFFFFF"/>
                      <w:sz w:val="20"/>
                      <w:szCs w:val="20"/>
                      <w:rFonts w:ascii="arial" w:eastAsia="arial" w:hAnsi="arial"/>
                    </w:rPr>
                  </w:pP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Defective oxidation of iodide to iodine secondary to thyroid peroxidase deficiency</w:t>
                  </w:r>
                </w:p>
                <w:p>
                  <w:pPr>
                    <w:pStyle w:val="a3"/>
                    <w:numPr>
                      <w:ilvl w:val="0"/>
                      <w:numId w:val="4"/>
                    </w:numPr>
                    <w:jc w:val="left"/>
                    <w:spacing w:line="312" w:lineRule="auto"/>
                    <w:ind w:left="400" w:hanging="400"/>
                    <w:rPr>
                      <w:shd w:val="clear" w:color="auto" w:fill="FFFFFF"/>
                      <w:sz w:val="20"/>
                      <w:szCs w:val="20"/>
                      <w:rFonts w:ascii="arial" w:eastAsia="arial" w:hAnsi="arial"/>
                    </w:rPr>
                  </w:pP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Defective coupling of iodotyrosines</w:t>
                  </w:r>
                </w:p>
                <w:p>
                  <w:pPr>
                    <w:pStyle w:val="a3"/>
                    <w:numPr>
                      <w:ilvl w:val="0"/>
                      <w:numId w:val="4"/>
                    </w:numPr>
                    <w:jc w:val="left"/>
                    <w:spacing w:line="312" w:lineRule="auto"/>
                    <w:ind w:left="400" w:hanging="400"/>
                    <w:rPr>
                      <w:shd w:val="clear" w:color="auto" w:fill="FFFFFF"/>
                      <w:sz w:val="20"/>
                      <w:szCs w:val="20"/>
                      <w:rFonts w:ascii="arial" w:eastAsia="arial" w:hAnsi="arial"/>
                    </w:rPr>
                  </w:pP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Deiodination defects</w:t>
                  </w:r>
                </w:p>
                <w:p>
                  <w:pPr>
                    <w:pStyle w:val="a3"/>
                    <w:numPr>
                      <w:ilvl w:val="0"/>
                      <w:numId w:val="4"/>
                    </w:numPr>
                    <w:jc w:val="left"/>
                    <w:spacing w:line="312" w:lineRule="auto"/>
                    <w:ind w:left="400" w:hanging="400"/>
                    <w:rPr>
                      <w:shd w:val="clear" w:color="auto" w:fill="FFFFFF"/>
                      <w:sz w:val="20"/>
                      <w:szCs w:val="20"/>
                      <w:rFonts w:ascii="arial" w:eastAsia="arial" w:hAnsi="arial"/>
                    </w:rPr>
                  </w:pP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Defective thyroglobulin synthesis</w:t>
                  </w:r>
                </w:p>
                <w:p>
                  <w:pPr>
                    <w:pStyle w:val="a3"/>
                    <w:numPr>
                      <w:ilvl w:val="0"/>
                      <w:numId w:val="4"/>
                    </w:numPr>
                    <w:jc w:val="left"/>
                    <w:spacing w:line="312" w:lineRule="auto"/>
                    <w:ind w:left="400" w:hanging="400"/>
                    <w:rPr>
                      <w:shd w:val="clear" w:color="auto" w:fill="FFFFFF"/>
                      <w:sz w:val="20"/>
                      <w:szCs w:val="20"/>
                      <w:rFonts w:ascii="arial" w:eastAsia="arial" w:hAnsi="arial"/>
                    </w:rPr>
                  </w:pP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Defective proteolysis of thyroglobulin</w:t>
                  </w:r>
                </w:p>
                <w:p>
                  <w:pPr>
                    <w:pStyle w:val="a3"/>
                    <w:numPr>
                      <w:ilvl w:val="0"/>
                      <w:numId w:val="4"/>
                    </w:numPr>
                    <w:jc w:val="left"/>
                    <w:spacing w:line="312" w:lineRule="auto"/>
                    <w:ind w:left="400" w:hanging="400"/>
                    <w:rPr>
                      <w:shd w:val="clear" w:color="auto" w:fill="FFFFFF"/>
                      <w:sz w:val="20"/>
                      <w:szCs w:val="20"/>
                      <w:rFonts w:ascii="arial" w:eastAsia="arial" w:hAnsi="arial"/>
                    </w:rPr>
                  </w:pP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Release of T3 and T4 into the circulation</w:t>
                  </w:r>
                </w:p>
                <w:p>
                  <w:pPr>
                    <w:pStyle w:val="a3"/>
                    <w:numPr>
                      <w:ilvl w:val="0"/>
                      <w:numId w:val="4"/>
                    </w:numPr>
                    <w:jc w:val="left"/>
                    <w:spacing w:line="312" w:lineRule="auto"/>
                    <w:ind w:left="400" w:hanging="400"/>
                    <w:rPr>
                      <w:shd w:val="clear" w:color="auto" w:fill="FFFFFF"/>
                      <w:sz w:val="20"/>
                      <w:szCs w:val="20"/>
                      <w:rFonts w:ascii="arial" w:eastAsia="arial" w:hAnsi="arial"/>
                    </w:rPr>
                  </w:pPr>
                </w:p>
                <w:p>
                  <w:pPr>
                    <w:pStyle w:val="Para0"/>
                    <w:spacing w:line="312" w:lineRule="auto"/>
                    <w:ind w:left="0" w:hanging="0"/>
                    <w:rPr>
                      <w:sz w:val="18"/>
                      <w:szCs w:val="18"/>
                      <w:shd w:val="clear" w:color="auto" w:fill="FFFFFF"/>
                      <w:sz w:val="18"/>
                      <w:szCs w:val="18"/>
                      <w:rFonts w:ascii="arial" w:eastAsia="arial" w:hAnsi="arial"/>
                    </w:rPr>
                  </w:pP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Partial peripheral resistance to thyroid hormones (autosomal dominant defect): Patients relate a family history of go</w:t>
                  </w: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iter with euthyroidism or hypothyroidism in the face of elevated serum levels of T4 or T3 but nonsuppressed serum</w:t>
                  </w: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 TSH concentrations.</w:t>
                  </w:r>
                </w:p>
                <w:p>
                  <w:pPr>
                    <w:pStyle w:val="a3"/>
                    <w:numPr>
                      <w:ilvl w:val="0"/>
                      <w:numId w:val="4"/>
                    </w:numPr>
                    <w:jc w:val="left"/>
                    <w:spacing w:line="312" w:lineRule="auto"/>
                    <w:ind w:left="400" w:hanging="400"/>
                    <w:rPr>
                      <w:shd w:val="clear" w:color="auto" w:fill="FFFFFF"/>
                      <w:sz w:val="20"/>
                      <w:szCs w:val="20"/>
                      <w:rFonts w:ascii="arial" w:eastAsia="arial" w:hAnsi="arial"/>
                    </w:rPr>
                  </w:pPr>
                </w:p>
                <w:p>
                  <w:pPr>
                    <w:pStyle w:val="Para0"/>
                    <w:spacing w:line="312" w:lineRule="auto"/>
                    <w:ind w:left="0" w:hanging="0"/>
                    <w:rPr>
                      <w:sz w:val="18"/>
                      <w:szCs w:val="18"/>
                      <w:shd w:val="clear" w:color="auto" w:fill="FFFFFF"/>
                      <w:sz w:val="18"/>
                      <w:szCs w:val="18"/>
                      <w:rFonts w:ascii="arial" w:eastAsia="arial" w:hAnsi="arial"/>
                    </w:rPr>
                  </w:pP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>Hypopituitarism</w:t>
                  </w:r>
                </w:p>
                <w:p>
                  <w:pPr>
                    <w:pStyle w:val="a3"/>
                    <w:numPr>
                      <w:ilvl w:val="0"/>
                      <w:numId w:val="4"/>
                    </w:numPr>
                    <w:jc w:val="left"/>
                    <w:spacing w:line="312" w:lineRule="auto"/>
                    <w:ind w:left="400" w:hanging="400"/>
                    <w:rPr>
                      <w:shd w:val="clear" w:color="auto" w:fill="FFFFFF"/>
                      <w:sz w:val="20"/>
                      <w:szCs w:val="20"/>
                      <w:rFonts w:ascii="arial" w:eastAsia="arial" w:hAnsi="arial"/>
                    </w:rPr>
                  </w:pPr>
                </w:p>
                <w:p>
                  <w:pPr>
                    <w:pStyle w:val="Para0"/>
                    <w:spacing w:line="312" w:lineRule="auto"/>
                    <w:ind w:left="0" w:hanging="0"/>
                    <w:rPr>
                      <w:sz w:val="18"/>
                      <w:szCs w:val="18"/>
                      <w:shd w:val="clear" w:color="auto" w:fill="FFFFFF"/>
                      <w:sz w:val="18"/>
                      <w:szCs w:val="18"/>
                      <w:rFonts w:ascii="arial" w:eastAsia="arial" w:hAnsi="arial"/>
                    </w:rPr>
                  </w:pP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Transplacental passage of maternal TSH-binding inhibitory antibodies: This can cause transient neonatal hypothyr</w:t>
                  </w: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oidism. In mothers with autoimmune thyroiditis, immunoglobulin G (IgG) antithyroid antibodies can be transmitted a</w:t>
                  </w: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cross the placenta. These antibodies block binding of TSH to its receptor on the fetal thyroid. The half-life of these </w:t>
                  </w: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antibodies is approximately 1 week, and this form of congenital hypothyroidism usually resolves within 2-3 months </w:t>
                  </w: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of life. Although these infants are asymptomatic, they require thyroid hormone replacement until the pituitary-thyroi</w:t>
                  </w: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d axis recovers. Monitoring the infant's serum titer of maternal antibodies is unnecessary, although monitoring seru</w:t>
                  </w: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m TSH values is essential for guiding therapy.</w:t>
                  </w:r>
                </w:p>
                <w:p>
                  <w:pPr>
                    <w:pStyle w:val="a3"/>
                    <w:numPr>
                      <w:ilvl w:val="0"/>
                      <w:numId w:val="4"/>
                    </w:numPr>
                    <w:jc w:val="left"/>
                    <w:spacing w:line="312" w:lineRule="auto"/>
                    <w:ind w:left="400" w:hanging="400"/>
                    <w:rPr>
                      <w:shd w:val="clear" w:color="auto" w:fill="FFFFFF"/>
                      <w:sz w:val="20"/>
                      <w:szCs w:val="20"/>
                      <w:rFonts w:ascii="arial" w:eastAsia="arial" w:hAnsi="arial"/>
                    </w:rPr>
                  </w:pPr>
                </w:p>
                <w:p>
                  <w:pPr>
                    <w:pStyle w:val="Para0"/>
                    <w:spacing w:line="312" w:lineRule="auto"/>
                    <w:ind w:left="0" w:hanging="0"/>
                    <w:rPr>
                      <w:sz w:val="18"/>
                      <w:szCs w:val="18"/>
                      <w:shd w:val="clear" w:color="auto" w:fill="FFFFFF"/>
                      <w:sz w:val="18"/>
                      <w:szCs w:val="18"/>
                      <w:rFonts w:ascii="arial" w:eastAsia="arial" w:hAnsi="arial"/>
                    </w:rPr>
                  </w:pP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Maternal exposure to radioiodine: The fetal thyroid is able to trap iodide by 70-75 days' gestation. Hypothyroidism c</w:t>
                  </w: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an develop if the mother is exposed to radioiodine to treat Graves disease or thyroid carcinoma.</w:t>
                  </w:r>
                </w:p>
                <w:p>
                  <w:pPr>
                    <w:pStyle w:val="a3"/>
                    <w:numPr>
                      <w:ilvl w:val="0"/>
                      <w:numId w:val="4"/>
                    </w:numPr>
                    <w:jc w:val="left"/>
                    <w:spacing w:line="312" w:lineRule="auto"/>
                    <w:ind w:left="400" w:hanging="400"/>
                    <w:rPr>
                      <w:shd w:val="clear" w:color="auto" w:fill="FFFFFF"/>
                      <w:sz w:val="20"/>
                      <w:szCs w:val="20"/>
                      <w:rFonts w:ascii="arial" w:eastAsia="arial" w:hAnsi="arial"/>
                    </w:rPr>
                  </w:pPr>
                </w:p>
                <w:p>
                  <w:pPr>
                    <w:pStyle w:val="Para0"/>
                    <w:spacing w:line="312" w:lineRule="auto"/>
                    <w:ind w:left="0" w:hanging="0"/>
                    <w:rPr>
                      <w:sz w:val="18"/>
                      <w:szCs w:val="18"/>
                      <w:shd w:val="clear" w:color="auto" w:fill="FFFFFF"/>
                      <w:sz w:val="18"/>
                      <w:szCs w:val="18"/>
                      <w:rFonts w:ascii="arial" w:eastAsia="arial" w:hAnsi="arial"/>
                    </w:rPr>
                  </w:pP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Goitrogens: These include iodides found in certain asthma medications, amiodarone, neonatal exposure to iodine-c</w:t>
                  </w:r>
                  <w:r>
                    <w:rPr>
                      <w:rStyle w:val="Character3"/>
                      <w:sz w:val="18"/>
                      <w:szCs w:val="18"/>
                      <w:shd w:val="clear" w:color="auto" w:fill="FFFFFF"/>
                    </w:rPr>
                    <w:t xml:space="preserve">ontaining antiseptics, propylthiouracil, or methimazole.</w:t>
                  </w:r>
                </w:p>
              </w:txbxContent>
            </v:textbox>
          </v:shape>
        </w:pic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dobandit, in principal autoimun, prin deficit de iod, rar tiroidita subacuta,  trt cu litiu, amiodarona, thioamine. </w:t>
      </w:r>
      <w:r>
        <w:rPr>
          <w:rStyle w:val="Character1"/>
        </w:rPr>
        <w:t xml:space="preserve">Dupa iradiere ( pt alte cancere pana la 30% la 1-10 ani ), euthyoid sick syndrome, histiocitoza X si alte boli </w:t>
      </w:r>
      <w:r>
        <w:rPr>
          <w:rStyle w:val="Character1"/>
        </w:rPr>
        <w:t xml:space="preserve">infiltative sau tezaurismoze, decompensarea unei tiroide ectopice sau cu un defect de sinteza hh, </w:t>
      </w:r>
      <w:r>
        <w:rPr>
          <w:rStyle w:val="Character1"/>
        </w:rPr>
        <w:t>posttiroidectomie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Clinic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nn cu hipoty congenital: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gestatie prelungita, greutate mare la nastere,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constipatie de la nastere, inclusiv la eliminarea de merconiu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icter prelungit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dificultati de alimentare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plans caracteristic, ragusit, respiratie zgomotoasa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hipotermie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bradicardie, macroglosie, edeme pretibial, umbra cardiaca marita dat pericarditei, hernie ombilicala, </w:t>
      </w:r>
      <w:r>
        <w:rPr>
          <w:rStyle w:val="Character1"/>
        </w:rPr>
        <w:t xml:space="preserve">fontanele mari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ecg : microvoltaj, bradicardie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hipoty dobandit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scaderea vitezei de crestere cu creste moderata in greutate,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VO intarziata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semne cuatante si neurologice simklare cu adultul, apnee de somn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pseudopubertate precoce izosexuala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gusa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</w:t>
      </w:r>
    </w:p>
    <w:p>
      <w:pPr>
        <w:pStyle w:val="Para5"/>
        <w:spacing w:line="313" w:lineRule="auto"/>
        <w:ind w:left="0" w:hanging="0"/>
        <w:rPr>
          <w:sz w:val="18"/>
          <w:szCs w:val="18"/>
          <w:shd w:val="clear" w:color="auto" w:fill="FFFFFF"/>
          <w:sz w:val="18"/>
          <w:szCs w:val="18"/>
          <w:rFonts w:ascii="sans-serif" w:eastAsia="sans-serif" w:hAnsi="sans-serif"/>
        </w:rPr>
      </w:pPr>
      <w:r>
        <w:rPr>
          <w:rStyle w:val="Character15"/>
          <w:sz w:val="18"/>
          <w:szCs w:val="18"/>
          <w:shd w:val="clear" w:color="auto" w:fill="FFFFFF"/>
        </w:rPr>
        <w:t>DIAGNOSTIC</w:t>
      </w:r>
    </w:p>
    <w:p>
      <w:pPr>
        <w:pStyle w:val="Para5"/>
        <w:spacing w:line="313" w:lineRule="auto"/>
        <w:ind w:left="0" w:hanging="0"/>
        <w:rPr>
          <w:sz w:val="18"/>
          <w:szCs w:val="18"/>
          <w:shd w:val="clear" w:color="auto" w:fill="FFFFFF"/>
          <w:sz w:val="18"/>
          <w:szCs w:val="18"/>
          <w:rFonts w:ascii="sans-serif" w:eastAsia="sans-serif" w:hAnsi="sans-serif"/>
        </w:rPr>
      </w:pPr>
      <w:r>
        <w:rPr>
          <w:rStyle w:val="Character15"/>
          <w:sz w:val="18"/>
          <w:szCs w:val="18"/>
          <w:shd w:val="clear" w:color="auto" w:fill="FFFFFF"/>
        </w:rPr>
        <w:t xml:space="preserve">TSH - crescut in hipoty primar</w:t>
      </w:r>
    </w:p>
    <w:p>
      <w:pPr>
        <w:pStyle w:val="Para5"/>
        <w:spacing w:line="313" w:lineRule="auto"/>
        <w:ind w:left="0" w:hanging="0"/>
        <w:rPr>
          <w:sz w:val="18"/>
          <w:szCs w:val="18"/>
          <w:shd w:val="clear" w:color="auto" w:fill="FFFFFF"/>
          <w:sz w:val="18"/>
          <w:szCs w:val="18"/>
          <w:rFonts w:ascii="sans-serif" w:eastAsia="sans-serif" w:hAnsi="sans-serif"/>
        </w:rPr>
      </w:pPr>
      <w:r>
        <w:rPr>
          <w:rStyle w:val="Character15"/>
          <w:sz w:val="18"/>
          <w:szCs w:val="18"/>
          <w:shd w:val="clear" w:color="auto" w:fill="FFFFFF"/>
        </w:rPr>
        <w:t xml:space="preserve">       - low normal sau low in cel secunar (rar defect izolat de TSH) sau tertiar. ! si la alte semne de afectare hpf: micropenis, </w:t>
      </w:r>
      <w:r>
        <w:rPr>
          <w:rStyle w:val="Character15"/>
          <w:sz w:val="18"/>
          <w:szCs w:val="18"/>
          <w:shd w:val="clear" w:color="auto" w:fill="FFFFFF"/>
        </w:rPr>
        <w:t xml:space="preserve">defecte de linie mediana, hipoglicemie nn.</w:t>
      </w:r>
    </w:p>
    <w:p>
      <w:pPr>
        <w:pStyle w:val="Para5"/>
        <w:spacing w:line="313" w:lineRule="auto"/>
        <w:ind w:left="0" w:hanging="0"/>
        <w:rPr>
          <w:sz w:val="18"/>
          <w:szCs w:val="18"/>
          <w:shd w:val="clear" w:color="auto" w:fill="FFFFFF"/>
          <w:sz w:val="18"/>
          <w:szCs w:val="18"/>
          <w:rFonts w:ascii="sans-serif" w:eastAsia="sans-serif" w:hAnsi="sans-serif"/>
        </w:rPr>
      </w:pPr>
      <w:r>
        <w:rPr>
          <w:rStyle w:val="Character15"/>
          <w:sz w:val="18"/>
          <w:szCs w:val="18"/>
          <w:shd w:val="clear" w:color="auto" w:fill="FFFFFF"/>
        </w:rPr>
        <w:t xml:space="preserve">TT4 sau fT4 - scazut. ! la deficitul de TBG (T. binding globuline) 1:3000 nn, care modifica doar TT4. </w:t>
      </w:r>
    </w:p>
    <w:p>
      <w:pPr>
        <w:pStyle w:val="Para5"/>
        <w:spacing w:line="313" w:lineRule="auto"/>
        <w:ind w:left="0" w:hanging="0"/>
        <w:rPr>
          <w:sz w:val="18"/>
          <w:szCs w:val="18"/>
          <w:shd w:val="clear" w:color="auto" w:fill="FFFFFF"/>
          <w:sz w:val="18"/>
          <w:szCs w:val="18"/>
          <w:rFonts w:ascii="sans-serif" w:eastAsia="sans-serif" w:hAnsi="sans-serif"/>
        </w:rPr>
      </w:pPr>
    </w:p>
    <w:p>
      <w:pPr>
        <w:pStyle w:val="Para5"/>
        <w:spacing w:line="313" w:lineRule="auto"/>
        <w:ind w:left="0" w:hanging="0"/>
        <w:rPr>
          <w:sz w:val="18"/>
          <w:szCs w:val="18"/>
          <w:shd w:val="clear" w:color="auto" w:fill="FFFFFF"/>
          <w:sz w:val="18"/>
          <w:szCs w:val="18"/>
          <w:rFonts w:ascii="sans-serif" w:eastAsia="sans-serif" w:hAnsi="sans-serif"/>
        </w:rPr>
      </w:pPr>
      <w:r>
        <w:rPr>
          <w:rStyle w:val="Character15"/>
          <w:sz w:val="18"/>
          <w:szCs w:val="18"/>
          <w:shd w:val="clear" w:color="auto" w:fill="FFFFFF"/>
        </w:rPr>
        <w:t xml:space="preserve">Scintigrama ( de obicei cu Tc99 pt ca nu se organifica si radiatia e mai mica) pt localizarea unei ty ectopice sau  pt a confirma un </w:t>
      </w:r>
      <w:r>
        <w:rPr>
          <w:rStyle w:val="Character15"/>
          <w:sz w:val="18"/>
          <w:szCs w:val="18"/>
          <w:shd w:val="clear" w:color="auto" w:fill="FFFFFF"/>
        </w:rPr>
        <w:t xml:space="preserve">defect de organificare - captare normala dar timp de injumatatire ty mai scurt ca se pierde.</w:t>
      </w:r>
    </w:p>
    <w:p>
      <w:pPr>
        <w:pStyle w:val="Para5"/>
        <w:spacing w:line="313" w:lineRule="auto"/>
        <w:ind w:left="0" w:hanging="0"/>
        <w:rPr>
          <w:sz w:val="18"/>
          <w:szCs w:val="18"/>
          <w:shd w:val="clear" w:color="auto" w:fill="FFFFFF"/>
          <w:sz w:val="18"/>
          <w:szCs w:val="18"/>
          <w:rFonts w:ascii="sans-serif" w:eastAsia="sans-serif" w:hAnsi="sans-serif"/>
        </w:rPr>
      </w:pPr>
    </w:p>
    <w:p>
      <w:pPr>
        <w:pStyle w:val="Para5"/>
        <w:spacing w:line="313" w:lineRule="auto"/>
        <w:ind w:left="0" w:hanging="0"/>
        <w:rPr>
          <w:sz w:val="18"/>
          <w:szCs w:val="18"/>
          <w:shd w:val="clear" w:color="auto" w:fill="FFFFFF"/>
          <w:sz w:val="18"/>
          <w:szCs w:val="18"/>
          <w:rFonts w:ascii="sans-serif" w:eastAsia="sans-serif" w:hAnsi="sans-serif"/>
        </w:rPr>
      </w:pPr>
    </w:p>
    <w:p>
      <w:pPr>
        <w:pStyle w:val="Para5"/>
        <w:spacing w:line="313" w:lineRule="auto"/>
        <w:ind w:left="0" w:hanging="0"/>
        <w:rPr>
          <w:sz w:val="18"/>
          <w:szCs w:val="18"/>
          <w:shd w:val="clear" w:color="auto" w:fill="FFFFFF"/>
          <w:sz w:val="18"/>
          <w:szCs w:val="18"/>
          <w:rFonts w:ascii="sans-serif" w:eastAsia="sans-serif" w:hAnsi="sans-serif"/>
        </w:rPr>
      </w:pPr>
      <w:r>
        <w:rPr>
          <w:rStyle w:val="Character15"/>
          <w:sz w:val="18"/>
          <w:szCs w:val="18"/>
          <w:shd w:val="clear" w:color="auto" w:fill="FFFFFF"/>
        </w:rPr>
        <w:t>TRATAMENT</w:t>
      </w:r>
    </w:p>
    <w:p>
      <w:pPr>
        <w:pStyle w:val="Para5"/>
        <w:spacing w:line="313" w:lineRule="auto"/>
        <w:ind w:left="0" w:hanging="0"/>
        <w:rPr>
          <w:sz w:val="18"/>
          <w:szCs w:val="18"/>
          <w:shd w:val="clear" w:color="auto" w:fill="FFFFFF"/>
          <w:sz w:val="18"/>
          <w:szCs w:val="18"/>
          <w:rFonts w:ascii="sans-serif" w:eastAsia="sans-serif" w:hAnsi="sans-serif"/>
        </w:rPr>
      </w:pPr>
      <w:r>
        <w:rPr>
          <w:rStyle w:val="Character15"/>
          <w:sz w:val="18"/>
          <w:szCs w:val="18"/>
          <w:shd w:val="clear" w:color="auto" w:fill="FFFFFF"/>
        </w:rPr>
        <w:t xml:space="preserve">screeningul pozitiv trebuie confirmat, nu este 100% sigur asa ca dc are semne de hypoty mai bine repet.</w:t>
      </w:r>
    </w:p>
    <w:p>
      <w:pPr>
        <w:pStyle w:val="Para5"/>
        <w:spacing w:line="313" w:lineRule="auto"/>
        <w:ind w:left="0" w:hanging="0"/>
        <w:rPr>
          <w:sz w:val="18"/>
          <w:szCs w:val="18"/>
          <w:shd w:val="clear" w:color="auto" w:fill="FFFFFF"/>
          <w:sz w:val="18"/>
          <w:szCs w:val="18"/>
          <w:rFonts w:ascii="sans-serif" w:eastAsia="sans-serif" w:hAnsi="sans-serif"/>
        </w:rPr>
      </w:pPr>
      <w:r>
        <w:rPr>
          <w:rStyle w:val="Character15"/>
          <w:sz w:val="18"/>
          <w:szCs w:val="18"/>
          <w:shd w:val="clear" w:color="auto" w:fill="FFFFFF"/>
        </w:rPr>
        <w:t xml:space="preserve">Trt se initiaza imediat dupa recoltarea de sange la nn pt a evita tulburarile de dezvoltare neurologica determinate de inceperea </w:t>
      </w:r>
      <w:r>
        <w:rPr>
          <w:rStyle w:val="Character15"/>
          <w:sz w:val="18"/>
          <w:szCs w:val="18"/>
          <w:shd w:val="clear" w:color="auto" w:fill="FFFFFF"/>
        </w:rPr>
        <w:t xml:space="preserve">trt dupa 6 sapt de viata. Si trt pana la 2 ani fara pauza. Monitorizez lunar pana cand fT4/ TT4 se normalizeaza apoi la 3 luni pana </w:t>
      </w:r>
      <w:r>
        <w:rPr>
          <w:rStyle w:val="Character15"/>
          <w:sz w:val="18"/>
          <w:szCs w:val="18"/>
          <w:shd w:val="clear" w:color="auto" w:fill="FFFFFF"/>
        </w:rPr>
        <w:t xml:space="preserve">la 3 ani apoi la 6 luni.</w:t>
      </w:r>
    </w:p>
    <w:p>
      <w:pPr>
        <w:pStyle w:val="Para5"/>
        <w:spacing w:line="313" w:lineRule="auto"/>
        <w:ind w:left="0" w:hanging="0"/>
        <w:rPr>
          <w:sz w:val="18"/>
          <w:szCs w:val="18"/>
          <w:shd w:val="clear" w:color="auto" w:fill="FFFFFF"/>
          <w:sz w:val="18"/>
          <w:szCs w:val="18"/>
          <w:rFonts w:ascii="sans-serif" w:eastAsia="sans-serif" w:hAnsi="sans-serif"/>
        </w:rPr>
      </w:pPr>
      <w:r>
        <w:rPr>
          <w:rStyle w:val="Character15"/>
          <w:sz w:val="18"/>
          <w:szCs w:val="18"/>
          <w:shd w:val="clear" w:color="auto" w:fill="FFFFFF"/>
        </w:rPr>
        <w:t xml:space="preserve">! TSH ul poate ramane crescut cateva luni dupa ce am reglat fT4. </w:t>
      </w:r>
    </w:p>
    <w:p>
      <w:pPr>
        <w:pStyle w:val="Para5"/>
        <w:spacing w:line="313" w:lineRule="auto"/>
        <w:ind w:left="0" w:hanging="0"/>
        <w:rPr>
          <w:sz w:val="18"/>
          <w:szCs w:val="18"/>
          <w:shd w:val="clear" w:color="auto" w:fill="FFFFFF"/>
          <w:sz w:val="18"/>
          <w:szCs w:val="18"/>
          <w:rFonts w:ascii="sans-serif" w:eastAsia="sans-serif" w:hAnsi="sans-serif"/>
        </w:rPr>
      </w:pPr>
    </w:p>
    <w:p>
      <w:pPr>
        <w:pStyle w:val="Para5"/>
        <w:spacing w:line="313" w:lineRule="auto"/>
        <w:ind w:left="0" w:hanging="0"/>
        <w:rPr>
          <w:sz w:val="18"/>
          <w:szCs w:val="18"/>
          <w:shd w:val="clear" w:color="auto" w:fill="FFFFFF"/>
          <w:sz w:val="18"/>
          <w:szCs w:val="18"/>
          <w:rFonts w:ascii="sans-serif" w:eastAsia="sans-serif" w:hAnsi="sans-serif"/>
        </w:rPr>
      </w:pPr>
      <w:r>
        <w:rPr>
          <w:rStyle w:val="Character15"/>
          <w:sz w:val="18"/>
          <w:szCs w:val="18"/>
          <w:shd w:val="clear" w:color="auto" w:fill="FFFFFF"/>
        </w:rPr>
        <w:t xml:space="preserve">Initiez la nn cu 10-15 mmg/kgc/zi, mai putin dc e </w:t>
      </w:r>
    </w:p>
    <w:p>
      <w:pPr>
        <w:pStyle w:val="Para5"/>
        <w:spacing w:line="313" w:lineRule="auto"/>
        <w:ind w:left="0" w:hanging="0"/>
        <w:rPr>
          <w:sz w:val="18"/>
          <w:szCs w:val="18"/>
          <w:shd w:val="clear" w:color="auto" w:fill="FFFFFF"/>
          <w:sz w:val="18"/>
          <w:szCs w:val="18"/>
          <w:rFonts w:ascii="sans-serif" w:eastAsia="sans-serif" w:hAnsi="sans-serif"/>
        </w:rPr>
      </w:pPr>
      <w:r>
        <w:rPr>
          <w:rStyle w:val="Character15"/>
          <w:sz w:val="18"/>
          <w:szCs w:val="18"/>
          <w:shd w:val="clear" w:color="auto" w:fill="FFFFFF"/>
        </w:rPr>
        <w:t xml:space="preserve">1-5 ani: 100  μg/M2 or 4–6  μg/kg </w:t>
      </w:r>
    </w:p>
    <w:p>
      <w:pPr>
        <w:pStyle w:val="Para5"/>
        <w:spacing w:line="313" w:lineRule="auto"/>
        <w:ind w:left="0" w:hanging="0"/>
        <w:rPr>
          <w:sz w:val="18"/>
          <w:szCs w:val="18"/>
          <w:shd w:val="clear" w:color="auto" w:fill="FFFFFF"/>
          <w:sz w:val="18"/>
          <w:szCs w:val="18"/>
          <w:rFonts w:ascii="sans-serif" w:eastAsia="sans-serif" w:hAnsi="sans-serif"/>
        </w:rPr>
      </w:pPr>
      <w:r>
        <w:rPr>
          <w:rStyle w:val="Character15"/>
          <w:sz w:val="18"/>
          <w:szCs w:val="18"/>
          <w:shd w:val="clear" w:color="auto" w:fill="FFFFFF"/>
        </w:rPr>
        <w:t xml:space="preserve">6-10 ani: 3–4  μg/kg </w:t>
      </w:r>
    </w:p>
    <w:p>
      <w:pPr>
        <w:pStyle w:val="Para5"/>
        <w:spacing w:line="313" w:lineRule="auto"/>
        <w:ind w:left="0" w:hanging="0"/>
        <w:rPr>
          <w:sz w:val="18"/>
          <w:szCs w:val="18"/>
          <w:shd w:val="clear" w:color="auto" w:fill="FFFFFF"/>
          <w:sz w:val="18"/>
          <w:szCs w:val="18"/>
          <w:rFonts w:ascii="sans-serif" w:eastAsia="sans-serif" w:hAnsi="sans-serif"/>
        </w:rPr>
      </w:pPr>
      <w:r>
        <w:rPr>
          <w:rStyle w:val="Character15"/>
          <w:sz w:val="18"/>
          <w:szCs w:val="18"/>
          <w:shd w:val="clear" w:color="auto" w:fill="FFFFFF"/>
        </w:rPr>
        <w:t xml:space="preserve">11 ani si dupa: 2–3  μg/kg</w:t>
      </w:r>
    </w:p>
    <w:p>
      <w:pPr>
        <w:pStyle w:val="Para5"/>
        <w:spacing w:line="313" w:lineRule="auto"/>
        <w:ind w:left="0" w:hanging="0"/>
        <w:rPr>
          <w:sz w:val="18"/>
          <w:szCs w:val="18"/>
          <w:shd w:val="clear" w:color="auto" w:fill="FFFFFF"/>
          <w:sz w:val="18"/>
          <w:szCs w:val="18"/>
          <w:rFonts w:ascii="sans-serif" w:eastAsia="sans-serif" w:hAnsi="sans-serif"/>
        </w:rPr>
      </w:pPr>
    </w:p>
    <w:p>
      <w:pPr>
        <w:pStyle w:val="Para5"/>
        <w:spacing w:line="313" w:lineRule="auto"/>
        <w:ind w:left="0" w:hanging="0"/>
        <w:rPr>
          <w:sz w:val="18"/>
          <w:szCs w:val="18"/>
          <w:shd w:val="clear" w:color="auto" w:fill="FFFFFF"/>
          <w:sz w:val="18"/>
          <w:szCs w:val="18"/>
          <w:rFonts w:ascii="sans-serif" w:eastAsia="sans-serif" w:hAnsi="sans-serif"/>
        </w:rPr>
      </w:pPr>
    </w:p>
    <w:p>
      <w:pPr>
        <w:pStyle w:val="Para5"/>
        <w:spacing w:line="313" w:lineRule="auto"/>
        <w:ind w:left="0" w:hanging="0"/>
        <w:rPr>
          <w:sz w:val="18"/>
          <w:szCs w:val="18"/>
          <w:shd w:val="clear" w:color="auto" w:fill="FFFFFF"/>
          <w:sz w:val="18"/>
          <w:szCs w:val="18"/>
          <w:rFonts w:ascii="sans-serif" w:eastAsia="sans-serif" w:hAnsi="sans-serif"/>
        </w:rPr>
      </w:pPr>
    </w:p>
    <w:p>
      <w:pPr>
        <w:pStyle w:val="Para5"/>
        <w:spacing w:line="313" w:lineRule="auto"/>
        <w:ind w:left="0" w:hanging="0"/>
        <w:rPr>
          <w:sz w:val="18"/>
          <w:szCs w:val="18"/>
          <w:shd w:val="clear" w:color="auto" w:fill="FFFFFF"/>
          <w:sz w:val="18"/>
          <w:szCs w:val="18"/>
          <w:rFonts w:ascii="sans-serif" w:eastAsia="sans-serif" w:hAnsi="sans-serif"/>
        </w:rPr>
      </w:pPr>
      <w:r>
        <w:rPr>
          <w:rStyle w:val="Character15"/>
          <w:sz w:val="18"/>
          <w:szCs w:val="18"/>
          <w:shd w:val="clear" w:color="auto" w:fill="FFFFFF"/>
        </w:rPr>
        <w:t xml:space="preserve">HIPOTY SUBCLINIC</w:t>
      </w:r>
    </w:p>
    <w:p>
      <w:pPr>
        <w:pStyle w:val="Para5"/>
        <w:spacing w:line="313" w:lineRule="auto"/>
        <w:ind w:left="0" w:hanging="0"/>
        <w:rPr>
          <w:sz w:val="18"/>
          <w:szCs w:val="18"/>
          <w:shd w:val="clear" w:color="auto" w:fill="FFFFFF"/>
          <w:sz w:val="18"/>
          <w:szCs w:val="18"/>
          <w:rFonts w:ascii="sans-serif" w:eastAsia="sans-serif" w:hAnsi="sans-serif"/>
        </w:rPr>
      </w:pPr>
    </w:p>
    <w:p>
      <w:pPr>
        <w:pStyle w:val="Para5"/>
        <w:spacing w:line="313" w:lineRule="auto"/>
        <w:ind w:left="0" w:hanging="0"/>
        <w:rPr>
          <w:sz w:val="18"/>
          <w:szCs w:val="18"/>
          <w:shd w:val="clear" w:color="auto" w:fill="FFFFFF"/>
          <w:sz w:val="18"/>
          <w:szCs w:val="18"/>
          <w:rFonts w:ascii="sans-serif" w:eastAsia="sans-serif" w:hAnsi="sans-serif"/>
        </w:rPr>
      </w:pPr>
      <w:r>
        <w:rPr>
          <w:rStyle w:val="Character15"/>
          <w:sz w:val="18"/>
          <w:szCs w:val="18"/>
          <w:shd w:val="clear" w:color="auto" w:fill="FFFFFF"/>
        </w:rPr>
        <w:t xml:space="preserve">Efecte adverse pe dezvoltarea neurologica - nu exista studii clare, aparent scaderea cap de concentrare. </w:t>
      </w:r>
    </w:p>
    <w:p>
      <w:pPr>
        <w:pStyle w:val="Para5"/>
        <w:spacing w:line="313" w:lineRule="auto"/>
        <w:ind w:left="0" w:hanging="0"/>
        <w:rPr>
          <w:sz w:val="18"/>
          <w:szCs w:val="18"/>
          <w:shd w:val="clear" w:color="auto" w:fill="FFFFFF"/>
          <w:sz w:val="18"/>
          <w:szCs w:val="18"/>
          <w:rFonts w:ascii="sans-serif" w:eastAsia="sans-serif" w:hAnsi="sans-serif"/>
        </w:rPr>
      </w:pPr>
      <w:r>
        <w:rPr>
          <w:rStyle w:val="Character15"/>
          <w:sz w:val="18"/>
          <w:szCs w:val="18"/>
          <w:shd w:val="clear" w:color="auto" w:fill="FFFFFF"/>
        </w:rPr>
        <w:t xml:space="preserve">Risc mai mare de HTA, LDLc crescut</w:t>
      </w:r>
    </w:p>
    <w:p>
      <w:pPr>
        <w:pStyle w:val="Para5"/>
        <w:spacing w:line="313" w:lineRule="auto"/>
        <w:ind w:left="0" w:hanging="0"/>
        <w:rPr>
          <w:sz w:val="18"/>
          <w:szCs w:val="18"/>
          <w:shd w:val="clear" w:color="auto" w:fill="FFFFFF"/>
          <w:sz w:val="18"/>
          <w:szCs w:val="18"/>
          <w:rFonts w:ascii="sans-serif" w:eastAsia="sans-serif" w:hAnsi="sans-serif"/>
        </w:rPr>
      </w:pPr>
      <w:r>
        <w:rPr>
          <w:rStyle w:val="Character15"/>
          <w:sz w:val="18"/>
          <w:szCs w:val="18"/>
          <w:shd w:val="clear" w:color="auto" w:fill="FFFFFF"/>
        </w:rPr>
        <w:t xml:space="preserve">La cei cu DZ1 rism mai mare de hipoglicemii si asociat cu BMI mai mare</w:t>
      </w:r>
    </w:p>
    <w:p>
      <w:pPr>
        <w:pStyle w:val="Para5"/>
        <w:spacing w:line="313" w:lineRule="auto"/>
        <w:ind w:left="0" w:hanging="0"/>
        <w:rPr>
          <w:sz w:val="18"/>
          <w:szCs w:val="18"/>
          <w:shd w:val="clear" w:color="auto" w:fill="FFFFFF"/>
          <w:sz w:val="18"/>
          <w:szCs w:val="18"/>
          <w:rFonts w:ascii="sans-serif" w:eastAsia="sans-serif" w:hAnsi="sans-serif"/>
        </w:rPr>
      </w:pPr>
      <w:r>
        <w:rPr>
          <w:rStyle w:val="Character15"/>
          <w:sz w:val="18"/>
          <w:szCs w:val="18"/>
          <w:shd w:val="clear" w:color="auto" w:fill="FFFFFF"/>
        </w:rPr>
        <w:t xml:space="preserve"> !!! Obezitate  cu talie inalta si TSH &lt;7 de obicei este efectul obezitatii, nu cauza</w:t>
      </w:r>
    </w:p>
    <w:p>
      <w:pPr>
        <w:pStyle w:val="Para5"/>
        <w:spacing w:line="313" w:lineRule="auto"/>
        <w:ind w:left="0" w:hanging="0"/>
        <w:rPr>
          <w:sz w:val="18"/>
          <w:szCs w:val="18"/>
          <w:shd w:val="clear" w:color="auto" w:fill="FFFFFF"/>
          <w:sz w:val="18"/>
          <w:szCs w:val="18"/>
          <w:rFonts w:ascii="sans-serif" w:eastAsia="sans-serif" w:hAnsi="sans-serif"/>
        </w:rPr>
      </w:pPr>
    </w:p>
    <w:p>
      <w:pPr>
        <w:pStyle w:val="Para5"/>
        <w:spacing w:line="313" w:lineRule="auto"/>
        <w:ind w:left="0" w:hanging="0"/>
        <w:rPr>
          <w:sz w:val="18"/>
          <w:szCs w:val="18"/>
          <w:shd w:val="clear" w:color="auto" w:fill="FFFFFF"/>
          <w:sz w:val="18"/>
          <w:szCs w:val="18"/>
          <w:rFonts w:ascii="sans-serif" w:eastAsia="sans-serif" w:hAnsi="sans-serif"/>
        </w:rPr>
      </w:pPr>
      <w:r>
        <w:rPr>
          <w:rStyle w:val="Character15"/>
          <w:sz w:val="18"/>
          <w:szCs w:val="18"/>
          <w:shd w:val="clear" w:color="auto" w:fill="FFFFFF"/>
        </w:rPr>
        <w:t xml:space="preserve">In general hypoty subclinica fara autoimunitate este tranzitorie, mai putin daca anticorpii sunt pozitivi sau TSH initial &gt;10.</w:t>
      </w:r>
    </w:p>
    <w:p>
      <w:pPr>
        <w:pStyle w:val="Para5"/>
        <w:spacing w:line="313" w:lineRule="auto"/>
        <w:ind w:left="0" w:hanging="0"/>
        <w:rPr>
          <w:sz w:val="18"/>
          <w:szCs w:val="18"/>
          <w:shd w:val="clear" w:color="auto" w:fill="FFFFFF"/>
          <w:sz w:val="18"/>
          <w:szCs w:val="18"/>
          <w:rFonts w:ascii="sans-serif" w:eastAsia="sans-serif" w:hAnsi="sans-serif"/>
        </w:rPr>
      </w:pPr>
    </w:p>
    <w:p>
      <w:pPr>
        <w:pStyle w:val="Para5"/>
        <w:spacing w:line="313" w:lineRule="auto"/>
        <w:ind w:left="0" w:hanging="0"/>
        <w:rPr>
          <w:sz w:val="18"/>
          <w:szCs w:val="18"/>
          <w:shd w:val="clear" w:color="auto" w:fill="FFFFFF"/>
          <w:sz w:val="18"/>
          <w:szCs w:val="18"/>
          <w:rFonts w:ascii="sans-serif" w:eastAsia="sans-serif" w:hAnsi="sans-serif"/>
        </w:rPr>
      </w:pPr>
      <w:r>
        <w:rPr>
          <w:rStyle w:val="Character15"/>
          <w:sz w:val="18"/>
          <w:szCs w:val="18"/>
          <w:shd w:val="clear" w:color="auto" w:fill="FFFFFF"/>
        </w:rPr>
        <w:t xml:space="preserve">La copii sub 1 luna la care TSHul nu se normalizeaza se recomanda trt pana la 3 ani, cand se poate tenta o pauza. </w:t>
      </w:r>
    </w:p>
    <w:p>
      <w:pPr>
        <w:pStyle w:val="Para5"/>
        <w:spacing w:line="313" w:lineRule="auto"/>
        <w:ind w:left="0" w:hanging="0"/>
        <w:rPr>
          <w:sz w:val="18"/>
          <w:szCs w:val="18"/>
          <w:shd w:val="clear" w:color="auto" w:fill="FFFFFF"/>
          <w:sz w:val="18"/>
          <w:szCs w:val="18"/>
          <w:rFonts w:ascii="sans-serif" w:eastAsia="sans-serif" w:hAnsi="sans-serif"/>
        </w:rPr>
      </w:pPr>
      <w:r>
        <w:rPr>
          <w:rStyle w:val="Character15"/>
          <w:sz w:val="18"/>
          <w:szCs w:val="18"/>
          <w:shd w:val="clear" w:color="auto" w:fill="FFFFFF"/>
        </w:rPr>
        <w:t xml:space="preserve">la copii peste 3 ani cu hypoty subclinica  si anticorpi negativi monitorizez anual  (hh si ATPO, ATGL) pentru ca de obicei nu </w:t>
      </w:r>
      <w:r>
        <w:rPr>
          <w:rStyle w:val="Character15"/>
          <w:sz w:val="18"/>
          <w:szCs w:val="18"/>
          <w:shd w:val="clear" w:color="auto" w:fill="FFFFFF"/>
        </w:rPr>
        <w:t>evolueaza.</w:t>
      </w:r>
    </w:p>
    <w:p>
      <w:pPr>
        <w:pStyle w:val="Para5"/>
        <w:spacing w:line="313" w:lineRule="auto"/>
        <w:ind w:left="0" w:hanging="0"/>
        <w:rPr>
          <w:sz w:val="18"/>
          <w:szCs w:val="18"/>
          <w:shd w:val="clear" w:color="auto" w:fill="FFFFFF"/>
          <w:sz w:val="18"/>
          <w:szCs w:val="18"/>
          <w:rFonts w:ascii="sans-serif" w:eastAsia="sans-serif" w:hAnsi="sans-serif"/>
        </w:rPr>
      </w:pPr>
      <w:r>
        <w:rPr>
          <w:rStyle w:val="Character15"/>
          <w:sz w:val="18"/>
          <w:szCs w:val="18"/>
          <w:shd w:val="clear" w:color="auto" w:fill="FFFFFF"/>
        </w:rPr>
        <w:t xml:space="preserve">daca au anticorpii pozitivi, monitorizez la 6- 12 luni, chiar mai frecvent daca TSH&gt; 10 si decid sa nu tratez de la inceput</w:t>
      </w:r>
    </w:p>
    <w:sectPr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ans-serif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nsid w:val="0"/>
    <w:multiLevelType w:val="hybridMultilevel"/>
    <w:tmpl w:val="1861265731"/>
    <w:lvl w:ilvl="0">
      <w:start w:val="0"/>
      <w:numFmt w:val="bullet"/>
      <w:lvlText w:val=""/>
      <w:pPr>
        <w:ind w:left="400" w:hanging="400"/>
      </w:pPr>
      <w:rPr>
        <w:rFonts w:ascii="Wingdings" w:eastAsia="Wingdings" w:hAnsi="Wingdings" w:hint="default"/>
      </w:rPr>
      <w:rPr>
        <w:b w:val="false"/>
        <w:sz w:val="18"/>
        <w:szCs w:val="18"/>
        <w:color w:val="000000"/>
      </w:rPr>
    </w:lvl>
    <w:lvl w:ilvl="1">
      <w:start w:val="1"/>
      <w:numFmt w:val="bullet"/>
      <w:lvlText w:val=""/>
      <w:pPr>
        <w:ind w:left="400" w:hanging="40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2">
      <w:start w:val="1"/>
      <w:numFmt w:val="bullet"/>
      <w:lvlText w:val=""/>
      <w:pPr>
        <w:ind w:left="400" w:hanging="40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3">
      <w:start w:val="1"/>
      <w:numFmt w:val="bullet"/>
      <w:lvlText w:val=""/>
      <w:pPr>
        <w:ind w:left="400" w:hanging="40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4">
      <w:start w:val="1"/>
      <w:numFmt w:val="bullet"/>
      <w:lvlText w:val=""/>
      <w:pPr>
        <w:ind w:left="400" w:hanging="40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5">
      <w:start w:val="1"/>
      <w:numFmt w:val="bullet"/>
      <w:lvlText w:val=""/>
      <w:pPr>
        <w:ind w:left="400" w:hanging="40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6">
      <w:start w:val="1"/>
      <w:numFmt w:val="bullet"/>
      <w:lvlText w:val=""/>
      <w:pPr>
        <w:ind w:left="400" w:hanging="40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7">
      <w:start w:val="1"/>
      <w:numFmt w:val="bullet"/>
      <w:lvlText w:val=""/>
      <w:pPr>
        <w:ind w:left="400" w:hanging="40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8">
      <w:start w:val="1"/>
      <w:numFmt w:val="bullet"/>
      <w:lvlText w:val=""/>
      <w:pPr>
        <w:ind w:left="400" w:hanging="400"/>
      </w:pPr>
      <w:rPr>
        <w:rFonts w:ascii="Times New Roman" w:eastAsia="Times New Roman" w:hAnsi="Times New Roman" w:hint="default"/>
      </w:rPr>
      <w:rPr>
        <w:b w:val="false"/>
        <w:color w:val="000000"/>
      </w:rPr>
    </w:lvl>
  </w:abstractNum>
  <w:abstractNum w:abstractNumId="1">
    <w:nsid w:val="1"/>
    <w:multiLevelType w:val="hybridMultilevel"/>
    <w:tmpl w:val="245556982"/>
    <w:lvl w:ilvl="0">
      <w:start w:val="0"/>
      <w:numFmt w:val="bullet"/>
      <w:lvlText w:val=""/>
      <w:pPr>
        <w:ind w:left="400" w:hanging="400"/>
      </w:pPr>
      <w:rPr>
        <w:rFonts w:ascii="Wingdings" w:eastAsia="Wingdings" w:hAnsi="Wingdings" w:hint="default"/>
      </w:rPr>
      <w:rPr>
        <w:b w:val="false"/>
        <w:sz w:val="18"/>
        <w:szCs w:val="18"/>
        <w:color w:val="000000"/>
      </w:rPr>
    </w:lvl>
    <w:lvl w:ilvl="1">
      <w:start w:val="1"/>
      <w:numFmt w:val="bullet"/>
      <w:lvlText w:val=""/>
      <w:pPr>
        <w:ind w:left="400" w:hanging="40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2">
      <w:start w:val="1"/>
      <w:numFmt w:val="bullet"/>
      <w:lvlText w:val=""/>
      <w:pPr>
        <w:ind w:left="400" w:hanging="40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3">
      <w:start w:val="1"/>
      <w:numFmt w:val="bullet"/>
      <w:lvlText w:val=""/>
      <w:pPr>
        <w:ind w:left="400" w:hanging="40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4">
      <w:start w:val="1"/>
      <w:numFmt w:val="bullet"/>
      <w:lvlText w:val=""/>
      <w:pPr>
        <w:ind w:left="400" w:hanging="40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5">
      <w:start w:val="1"/>
      <w:numFmt w:val="bullet"/>
      <w:lvlText w:val=""/>
      <w:pPr>
        <w:ind w:left="400" w:hanging="40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6">
      <w:start w:val="1"/>
      <w:numFmt w:val="bullet"/>
      <w:lvlText w:val=""/>
      <w:pPr>
        <w:ind w:left="400" w:hanging="40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7">
      <w:start w:val="1"/>
      <w:numFmt w:val="bullet"/>
      <w:lvlText w:val=""/>
      <w:pPr>
        <w:ind w:left="400" w:hanging="40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8">
      <w:start w:val="1"/>
      <w:numFmt w:val="bullet"/>
      <w:lvlText w:val=""/>
      <w:pPr>
        <w:ind w:left="400" w:hanging="400"/>
      </w:pPr>
      <w:rPr>
        <w:rFonts w:ascii="Times New Roman" w:eastAsia="Times New Roman" w:hAnsi="Times New Roman" w:hint="default"/>
      </w:rPr>
      <w:rPr>
        <w:b w:val="false"/>
        <w:color w:val="000000"/>
      </w:rPr>
    </w:lvl>
  </w:abstractNum>
  <w:abstractNum w:abstractNumId="2">
    <w:nsid w:val="2"/>
    <w:multiLevelType w:val="hybridMultilevel"/>
    <w:tmpl w:val="689048597"/>
    <w:lvl w:ilvl="0">
      <w:start w:val="0"/>
      <w:numFmt w:val="bullet"/>
      <w:lvlText w:val=""/>
      <w:pPr>
        <w:ind w:left="400" w:hanging="400"/>
      </w:pPr>
      <w:rPr>
        <w:rFonts w:ascii="Wingdings" w:eastAsia="Wingdings" w:hAnsi="Wingdings" w:hint="default"/>
      </w:rPr>
      <w:rPr>
        <w:b w:val="false"/>
        <w:sz w:val="18"/>
        <w:szCs w:val="18"/>
        <w:color w:val="000000"/>
      </w:rPr>
    </w:lvl>
    <w:lvl w:ilvl="1">
      <w:start w:val="1"/>
      <w:numFmt w:val="bullet"/>
      <w:lvlText w:val=""/>
      <w:pPr>
        <w:ind w:left="400" w:hanging="40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2">
      <w:start w:val="1"/>
      <w:numFmt w:val="bullet"/>
      <w:lvlText w:val=""/>
      <w:pPr>
        <w:ind w:left="400" w:hanging="40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3">
      <w:start w:val="1"/>
      <w:numFmt w:val="bullet"/>
      <w:lvlText w:val=""/>
      <w:pPr>
        <w:ind w:left="400" w:hanging="40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4">
      <w:start w:val="1"/>
      <w:numFmt w:val="bullet"/>
      <w:lvlText w:val=""/>
      <w:pPr>
        <w:ind w:left="400" w:hanging="40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5">
      <w:start w:val="1"/>
      <w:numFmt w:val="bullet"/>
      <w:lvlText w:val=""/>
      <w:pPr>
        <w:ind w:left="400" w:hanging="40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6">
      <w:start w:val="1"/>
      <w:numFmt w:val="bullet"/>
      <w:lvlText w:val=""/>
      <w:pPr>
        <w:ind w:left="400" w:hanging="40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7">
      <w:start w:val="1"/>
      <w:numFmt w:val="bullet"/>
      <w:lvlText w:val=""/>
      <w:pPr>
        <w:ind w:left="400" w:hanging="40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8">
      <w:start w:val="1"/>
      <w:numFmt w:val="bullet"/>
      <w:lvlText w:val=""/>
      <w:pPr>
        <w:ind w:left="400" w:hanging="400"/>
      </w:pPr>
      <w:rPr>
        <w:rFonts w:ascii="Times New Roman" w:eastAsia="Times New Roman" w:hAnsi="Times New Roman" w:hint="default"/>
      </w:rPr>
      <w:rPr>
        <w:b w:val="false"/>
        <w:color w:val="000000"/>
      </w:rPr>
    </w:lvl>
  </w:abstractNum>
  <w:abstractNum w:abstractNumId="3">
    <w:nsid w:val="3"/>
    <w:multiLevelType w:val="hybridMultilevel"/>
    <w:tmpl w:val="302338369"/>
    <w:lvl w:ilvl="0">
      <w:start w:val="0"/>
      <w:numFmt w:val="bullet"/>
      <w:lvlText w:val=""/>
      <w:pPr>
        <w:ind w:left="400" w:hanging="400"/>
      </w:pPr>
      <w:rPr>
        <w:rFonts w:ascii="Wingdings" w:eastAsia="Wingdings" w:hAnsi="Wingdings" w:hint="default"/>
      </w:rPr>
      <w:rPr>
        <w:b w:val="false"/>
        <w:sz w:val="18"/>
        <w:szCs w:val="18"/>
        <w:color w:val="000000"/>
        <w:shd w:val="clear" w:color="auto" w:fill="FFFFFF"/>
      </w:rPr>
    </w:lvl>
    <w:lvl w:ilvl="1">
      <w:start w:val="1"/>
      <w:numFmt w:val="bullet"/>
      <w:lvlText w:val=""/>
      <w:pPr>
        <w:ind w:left="400" w:hanging="40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2">
      <w:start w:val="1"/>
      <w:numFmt w:val="bullet"/>
      <w:lvlText w:val=""/>
      <w:pPr>
        <w:ind w:left="400" w:hanging="40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3">
      <w:start w:val="1"/>
      <w:numFmt w:val="bullet"/>
      <w:lvlText w:val=""/>
      <w:pPr>
        <w:ind w:left="400" w:hanging="40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4">
      <w:start w:val="1"/>
      <w:numFmt w:val="bullet"/>
      <w:lvlText w:val=""/>
      <w:pPr>
        <w:ind w:left="400" w:hanging="40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5">
      <w:start w:val="1"/>
      <w:numFmt w:val="bullet"/>
      <w:lvlText w:val=""/>
      <w:pPr>
        <w:ind w:left="400" w:hanging="40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6">
      <w:start w:val="1"/>
      <w:numFmt w:val="bullet"/>
      <w:lvlText w:val=""/>
      <w:pPr>
        <w:ind w:left="400" w:hanging="40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7">
      <w:start w:val="1"/>
      <w:numFmt w:val="bullet"/>
      <w:lvlText w:val=""/>
      <w:pPr>
        <w:ind w:left="400" w:hanging="40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8">
      <w:start w:val="1"/>
      <w:numFmt w:val="bullet"/>
      <w:lvlText w:val=""/>
      <w:pPr>
        <w:ind w:left="400" w:hanging="400"/>
      </w:pPr>
      <w:rPr>
        <w:rFonts w:ascii="Times New Roman" w:eastAsia="Times New Roman" w:hAnsi="Times New Roman" w:hint="default"/>
      </w:rPr>
      <w:rPr>
        <w:b w:val="false"/>
        <w:color w:val="00000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paragraph" w:customStyle="1" w:styleId="Para1">
    <w:name w:val="ParaAttribute1"/>
    <w:pPr>
      <w:spacing w:after="180"/>
      <w:jc w:val="left"/>
      <w:wordWrap w:val="false"/>
      <w:ind w:left="0" w:hanging="0"/>
      <w:widowControl w:val="false"/>
      <w:rPr/>
    </w:pPr>
  </w:style>
  <w:style w:type="paragraph" w:customStyle="1" w:styleId="Para2">
    <w:name w:val="ParaAttribute2"/>
    <w:pPr>
      <w:spacing w:after="180"/>
      <w:jc w:val="left"/>
      <w:wordWrap w:val="false"/>
      <w:ind w:left="0" w:hanging="0"/>
      <w:widowControl w:val="false"/>
      <w:rPr/>
    </w:pPr>
  </w:style>
  <w:style w:type="paragraph" w:customStyle="1" w:styleId="Para3">
    <w:name w:val="ParaAttribute3"/>
    <w:pPr>
      <w:jc w:val="left"/>
      <w:wordWrap w:val="false"/>
      <w:ind w:left="400" w:hanging="400"/>
      <w:widowControl w:val="false"/>
      <w:rPr/>
    </w:pPr>
  </w:style>
  <w:style w:type="paragraph" w:customStyle="1" w:styleId="Para4">
    <w:name w:val="ParaAttribute4"/>
    <w:pPr>
      <w:jc w:val="both"/>
      <w:wordWrap w:val="false"/>
      <w:ind w:left="400" w:hanging="400"/>
      <w:widowControl w:val="false"/>
      <w:rPr/>
    </w:pPr>
  </w:style>
  <w:style w:type="paragraph" w:customStyle="1" w:styleId="Para5">
    <w:name w:val="ParaAttribute5"/>
    <w:pPr>
      <w:jc w:val="left"/>
      <w:wordWrap w:val="false"/>
      <w:ind w:left="0" w:hanging="0"/>
      <w:widowControl w:val="false"/>
      <w:rPr/>
    </w:pPr>
  </w:style>
  <w:style w:type="paragraph" w:customStyle="1" w:styleId="Para6">
    <w:name w:val="ParaAttribute6"/>
    <w:pPr>
      <w:jc w:val="left"/>
      <w:wordWrap w:val="false"/>
      <w:ind w:left="0" w:hanging="0"/>
      <w:widowControl w:val="false"/>
      <w:rPr/>
    </w:pPr>
  </w:style>
  <w:style w:type="paragraph" w:customStyle="1" w:styleId="Para7">
    <w:name w:val="ParaAttribute7"/>
    <w:pPr>
      <w:jc w:val="left"/>
      <w:wordWrap w:val="false"/>
      <w:ind w:left="0" w:hanging="0"/>
      <w:widowControl w:val="false"/>
      <w:rPr/>
    </w:pPr>
  </w:style>
  <w:style w:type="paragraph" w:customStyle="1" w:styleId="Para8">
    <w:name w:val="ParaAttribute8"/>
    <w:pPr>
      <w:jc w:val="left"/>
      <w:wordWrap w:val="false"/>
      <w:ind w:left="0" w:hanging="0"/>
      <w:widowControl w:val="false"/>
      <w:rPr/>
    </w:pPr>
  </w:style>
  <w:style w:type="paragraph" w:customStyle="1" w:styleId="Para9">
    <w:name w:val="ParaAttribute9"/>
    <w:pPr>
      <w:jc w:val="left"/>
      <w:wordWrap w:val="false"/>
      <w:ind w:left="0" w:hanging="0"/>
      <w:widowControl w:val="false"/>
      <w:rPr/>
    </w:pPr>
  </w:style>
  <w:style w:type="paragraph" w:customStyle="1" w:styleId="Para10">
    <w:name w:val="ParaAttribute10"/>
    <w:pPr>
      <w:jc w:val="left"/>
      <w:wordWrap w:val="false"/>
      <w:ind w:left="0" w:hanging="0"/>
      <w:widowControl w:val="false"/>
      <w:rPr/>
    </w:pPr>
  </w:style>
  <w:style w:type="paragraph" w:customStyle="1" w:styleId="Para11">
    <w:name w:val="ParaAttribute11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  <w:style w:type="character" w:customStyle="1" w:styleId="Character1">
    <w:name w:val="CharAttribute1"/>
    <w:rPr>
      <w:rFonts w:ascii="Times New Roman" w:eastAsia="Times New Roman"/>
    </w:rPr>
  </w:style>
  <w:style w:type="character" w:customStyle="1" w:styleId="Character2">
    <w:name w:val="CharAttribute2"/>
    <w:rPr>
      <w:rFonts w:ascii="바탕" w:eastAsia="바탕"/>
    </w:rPr>
  </w:style>
  <w:style w:type="character" w:customStyle="1" w:styleId="Character3">
    <w:name w:val="CharAttribute3"/>
    <w:rPr>
      <w:rFonts w:ascii="arial" w:eastAsia="Times New Roman"/>
      <w:sz w:val="18"/>
      <w:shd w:val="clear" w:color="auto" w:fill="FFFFFF"/>
    </w:rPr>
  </w:style>
  <w:style w:type="character" w:customStyle="1" w:styleId="Character4">
    <w:name w:val="CharAttribute4"/>
    <w:rPr>
      <w:rFonts w:ascii="arial" w:eastAsia="arial"/>
      <w:shd w:val="clear" w:color="auto" w:fill="FFFFFF"/>
    </w:rPr>
  </w:style>
  <w:style w:type="character" w:customStyle="1" w:styleId="Character5">
    <w:name w:val="CharAttribute5"/>
    <w:rPr>
      <w:rFonts w:ascii="Wingdings" w:eastAsia="Wingdings"/>
      <w:sz w:val="18"/>
    </w:rPr>
  </w:style>
  <w:style w:type="character" w:customStyle="1" w:styleId="Character6">
    <w:name w:val="CharAttribute6"/>
    <w:rPr>
      <w:rFonts w:ascii="Wingdings" w:eastAsia="Wingdings"/>
      <w:sz w:val="18"/>
    </w:rPr>
  </w:style>
  <w:style w:type="character" w:customStyle="1" w:styleId="Character7">
    <w:name w:val="CharAttribute7"/>
    <w:rPr>
      <w:rFonts w:ascii="arial" w:eastAsia="arial"/>
      <w:sz w:val="18"/>
      <w:shd w:val="clear" w:color="auto" w:fill="FFFFFF"/>
    </w:rPr>
  </w:style>
  <w:style w:type="character" w:customStyle="1" w:styleId="Character8">
    <w:name w:val="CharAttribute8"/>
    <w:rPr>
      <w:rFonts w:ascii="arial" w:eastAsia="Times New Roman"/>
      <w:i/>
      <w:sz w:val="18"/>
      <w:shd w:val="clear" w:color="auto" w:fill="FFFFFF"/>
    </w:rPr>
  </w:style>
  <w:style w:type="character" w:customStyle="1" w:styleId="Character9">
    <w:name w:val="CharAttribute9"/>
    <w:rPr>
      <w:rFonts w:ascii="Wingdings" w:eastAsia="Wingdings"/>
      <w:sz w:val="18"/>
    </w:rPr>
  </w:style>
  <w:style w:type="character" w:customStyle="1" w:styleId="Character10">
    <w:name w:val="CharAttribute10"/>
    <w:rPr>
      <w:rFonts w:ascii="Wingdings" w:eastAsia="Wingdings"/>
      <w:sz w:val="18"/>
    </w:rPr>
  </w:style>
  <w:style w:type="character" w:customStyle="1" w:styleId="Character11">
    <w:name w:val="CharAttribute11"/>
    <w:rPr>
      <w:rFonts w:ascii="Wingdings" w:eastAsia="Wingdings"/>
      <w:sz w:val="18"/>
      <w:shd w:val="clear" w:color="auto" w:fill="FFFFFF"/>
    </w:rPr>
  </w:style>
  <w:style w:type="character" w:customStyle="1" w:styleId="Character12">
    <w:name w:val="CharAttribute12"/>
    <w:rPr>
      <w:rFonts w:ascii="Wingdings" w:eastAsia="Wingdings"/>
      <w:sz w:val="18"/>
      <w:shd w:val="clear" w:color="auto" w:fill="FFFFFF"/>
    </w:rPr>
  </w:style>
  <w:style w:type="character" w:customStyle="1" w:styleId="Character13">
    <w:name w:val="CharAttribute13"/>
    <w:rPr>
      <w:rFonts w:ascii="바탕" w:eastAsia="바탕"/>
    </w:rPr>
  </w:style>
  <w:style w:type="character" w:customStyle="1" w:styleId="Character14">
    <w:name w:val="CharAttribute14"/>
    <w:rPr>
      <w:rFonts w:ascii="sans-serif" w:eastAsia="sans-serif"/>
      <w:sz w:val="18"/>
      <w:shd w:val="clear" w:color="auto" w:fill="FFFFFF"/>
    </w:rPr>
  </w:style>
  <w:style w:type="character" w:customStyle="1" w:styleId="Character15">
    <w:name w:val="CharAttribute15"/>
    <w:rPr>
      <w:rFonts w:ascii="sans-serif" w:eastAsia="sans-serif"/>
      <w:sz w:val="18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150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 </cp:lastModifiedBy>
</cp:coreProperties>
</file>