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infrawarePen.xml" ContentType="application/infraware-pendraw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Relationship Id="rId4" Type="http://www.infraware.co.kr/2012/infrawarePen" Target="docProps/infrawarePen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HIPOTY IN SARCINA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in sarcina, ty creste cu 10% (20-40% in zonele cu deficit de iod); sinteza hh creste cu </w:t>
      </w:r>
      <w:r>
        <w:rPr>
          <w:rStyle w:val="Character1"/>
          <w:sz w:val="24"/>
          <w:szCs w:val="24"/>
        </w:rPr>
        <w:t xml:space="preserve">50% pt T3 si T4. Necesar de ioc 200 mcg/zi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In sarcina 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    - creste clearence urinar al iodului (iodurie spponana &gt;150 mcg/l in saricina)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    - creste TBG; scade albumina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    - activita crescuta a revers deiodinazei placentare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atentie la laborator. TSH scade in trim 1 dat beta HCG, apoi creste; !! in sarcinile </w:t>
      </w:r>
      <w:r>
        <w:rPr>
          <w:rStyle w:val="Character1"/>
          <w:sz w:val="24"/>
          <w:szCs w:val="24"/>
        </w:rPr>
        <w:t xml:space="preserve">gemelare beta HCG este si mai mare, scaderea de TSH este mai mare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TSH  - valori de referinta generale, ideale sunt valori pt etnie/ zona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trim 1: 0,1 -2,5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trim 2: 0,2 -3.0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trim 3:  0,3- 3.0 mUI/Lf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3"/>
          <w:color w:val="C00000"/>
          <w:sz w:val="24"/>
          <w:szCs w:val="24"/>
        </w:rPr>
        <w:t>2017</w:t>
      </w:r>
      <w:r>
        <w:rPr>
          <w:rStyle w:val="Character1"/>
          <w:sz w:val="24"/>
          <w:szCs w:val="24"/>
        </w:rPr>
        <w:t xml:space="preserve">: valoarea minima scade cu 0.4 mU/l, valoarea max scade cu 0,5-1 mU/l. Tipic </w:t>
      </w:r>
      <w:r>
        <w:rPr>
          <w:rStyle w:val="Character1"/>
          <w:sz w:val="24"/>
          <w:szCs w:val="24"/>
        </w:rPr>
        <w:t xml:space="preserve">pot considera 4 mU/l ca val max in trim 1 si apoi se aproprie de normal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TT4 creste de 1.5* fata de valorile la nongravide datorita cresterii de TBG sec E2; 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prin dializa de echilibru,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3"/>
          <w:color w:val="C00000"/>
          <w:sz w:val="24"/>
          <w:szCs w:val="24"/>
        </w:rPr>
        <w:t>2017</w:t>
      </w:r>
      <w:r>
        <w:rPr>
          <w:rStyle w:val="Character1"/>
          <w:sz w:val="24"/>
          <w:szCs w:val="24"/>
        </w:rPr>
        <w:t xml:space="preserve">: creste cu 50% dupa s20. Inainte creste cu 5%pt fiecare sapt dupa sapt 7 [ex: s </w:t>
      </w:r>
      <w:r>
        <w:rPr>
          <w:rStyle w:val="Character1"/>
          <w:sz w:val="24"/>
          <w:szCs w:val="24"/>
        </w:rPr>
        <w:t xml:space="preserve">11 =&gt; 11-7=4; 4×5%=20%]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fT4 scade cu max 10% (bHCG stimuleaza ty, TBG creste; cresc si conc de ac grasi </w:t>
      </w:r>
      <w:r>
        <w:rPr>
          <w:rStyle w:val="Character1"/>
          <w:sz w:val="24"/>
          <w:szCs w:val="24"/>
        </w:rPr>
        <w:t xml:space="preserve">liberi nonesterificati, albumina scade) prin dializa sau cromatografie/tandem mass </w:t>
      </w:r>
      <w:r>
        <w:rPr>
          <w:rStyle w:val="Character1"/>
          <w:sz w:val="24"/>
          <w:szCs w:val="24"/>
        </w:rPr>
        <w:t xml:space="preserve">spectrometrie; dar prin imunohistochimie pana la 50-70% din gravide au fT4 </w:t>
      </w:r>
      <w:r>
        <w:rPr>
          <w:rStyle w:val="Character1"/>
          <w:sz w:val="24"/>
          <w:szCs w:val="24"/>
        </w:rPr>
        <w:t xml:space="preserve">scazut.percentila 2.5 este 0.8 ng/dl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Indexul de fT4 care acum nu mai este folosit este mai corect. 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Ioduria spontana este metoda de studiu statistic nu individual.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Aport ideal normalizat cu 3 luni inainte - suplimente 150 mcg iod pe zi, plus 100 din </w:t>
      </w:r>
      <w:r>
        <w:rPr>
          <w:rStyle w:val="Character1"/>
          <w:sz w:val="24"/>
          <w:szCs w:val="24"/>
        </w:rPr>
        <w:t xml:space="preserve">alimentatie. Daca e prea mult creste incidenta de hipotiroidie subclinica. 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In zonele cu deficit se pot administra o doza anuala de 400 mg iod la femeile fertile. </w:t>
      </w:r>
      <w:r>
        <w:rPr>
          <w:rStyle w:val="Character1"/>
          <w:sz w:val="24"/>
          <w:szCs w:val="24"/>
        </w:rPr>
        <w:t xml:space="preserve">Nu e recomandat ca masura pe termen lung.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Doza max 500 mcg/zi. (nu la pop care consuma cronic iod fara efecte adverse - ex </w:t>
      </w:r>
      <w:r>
        <w:rPr>
          <w:rStyle w:val="Character1"/>
          <w:sz w:val="24"/>
          <w:szCs w:val="24"/>
        </w:rPr>
        <w:t xml:space="preserve">japonia). Atentie la amiodarona, subs de contrast iidata, kelp. 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Tiroida fetala nu scapa de sub fen wolf-korsakov decat dupa s36 de VIU -&gt; hipoty </w:t>
      </w:r>
      <w:r>
        <w:rPr>
          <w:rStyle w:val="Character1"/>
          <w:sz w:val="24"/>
          <w:szCs w:val="24"/>
        </w:rPr>
        <w:t>fetala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color w:val="CC0000"/>
          <w:rFonts w:ascii="n" w:eastAsia="n" w:hAnsi="n"/>
          <w:shd w:val="clear" w:color="auto" w:fill="FFFFFF"/>
          <w:sz w:val="24"/>
          <w:szCs w:val="24"/>
          <w:rFonts w:ascii="Arial" w:eastAsia="Arial" w:hAnsi="Arial"/>
        </w:rPr>
      </w:pPr>
      <w:r>
        <w:rPr>
          <w:rStyle w:val="Character4"/>
          <w:color w:val="CC0000"/>
          <w:sz w:val="24"/>
          <w:szCs w:val="24"/>
          <w:shd w:val="clear" w:color="auto" w:fill="FFFFFF"/>
        </w:rPr>
        <w:t xml:space="preserve">Hipotiroidia in sarcina 0.3-0.5% sarcina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TSH&gt;2.5 cu ft4 scazut; TSH&gt;10, indiferent de fT4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60% netratate pierd sarcina; 22% HTA gestationala; risc crescut de natere </w:t>
      </w:r>
      <w:r>
        <w:rPr>
          <w:rStyle w:val="Character5"/>
          <w:sz w:val="24"/>
          <w:szCs w:val="24"/>
          <w:shd w:val="clear" w:color="auto" w:fill="FFFFFF"/>
        </w:rPr>
        <w:t xml:space="preserve">prematura; retard de crestere intrauterin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color w:val="FF6666"/>
          <w:rFonts w:ascii="n" w:eastAsia="n" w:hAnsi="n"/>
          <w:shd w:val="clear" w:color="auto" w:fill="FFFFFF"/>
          <w:sz w:val="24"/>
          <w:szCs w:val="24"/>
          <w:rFonts w:ascii="Arial" w:eastAsia="Arial" w:hAnsi="Arial"/>
        </w:rPr>
      </w:pPr>
      <w:r>
        <w:rPr>
          <w:rStyle w:val="Character6"/>
          <w:color w:val="FF6666"/>
          <w:sz w:val="24"/>
          <w:szCs w:val="24"/>
          <w:shd w:val="clear" w:color="auto" w:fill="FFFFFF"/>
        </w:rPr>
        <w:t xml:space="preserve">hypoty subclinica in sarcina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TSH crescut pt laborator si trim de sarcina dar &lt;10, T4, T3, FT4 normal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complica pana la 2,5% sarcini ( pana la 13% in nordul spaniei), depinde de </w:t>
      </w:r>
      <w:r>
        <w:rPr>
          <w:rStyle w:val="Character1"/>
          <w:sz w:val="24"/>
          <w:szCs w:val="24"/>
        </w:rPr>
        <w:t xml:space="preserve">normograma de TSH pt populatia respectiva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hypoty subclinic - dozez ATPO,ATGL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! pot fi negativi in trim 2 si 3 de sarcina, fac eco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color w:val="9966CC"/>
          <w:rFonts w:ascii="n" w:eastAsia="n" w:hAnsi="n"/>
          <w:shd w:val="clear" w:color="auto" w:fill="FFFFFF"/>
          <w:sz w:val="24"/>
          <w:szCs w:val="24"/>
          <w:rFonts w:ascii="Arial" w:eastAsia="Arial" w:hAnsi="Arial"/>
        </w:rPr>
      </w:pPr>
      <w:r>
        <w:rPr>
          <w:rStyle w:val="Character7"/>
          <w:color w:val="9966CC"/>
          <w:sz w:val="24"/>
          <w:szCs w:val="24"/>
          <w:shd w:val="clear" w:color="auto" w:fill="FFFFFF"/>
        </w:rPr>
        <w:t xml:space="preserve">tiroidita autoimuna cu eutiroidism in sarcina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! 20% din pc ATPO + cu TSH normal la inceputul sarcinii dezvolta hipotiroidie pe </w:t>
      </w:r>
      <w:r>
        <w:rPr>
          <w:rStyle w:val="Character1"/>
          <w:sz w:val="24"/>
          <w:szCs w:val="24"/>
        </w:rPr>
        <w:t xml:space="preserve">durata sarcinii – monitorizez la 4 sapt pana in S 20 apoi cel putin 1 data in intervalul </w:t>
      </w:r>
      <w:r>
        <w:rPr>
          <w:rStyle w:val="Character1"/>
          <w:sz w:val="24"/>
          <w:szCs w:val="24"/>
        </w:rPr>
        <w:t xml:space="preserve">26-32 sapt - </w:t>
      </w:r>
      <w:r>
        <w:rPr>
          <w:rStyle w:val="Character3"/>
          <w:color w:val="C00000"/>
          <w:sz w:val="24"/>
          <w:szCs w:val="24"/>
        </w:rPr>
        <w:t xml:space="preserve">similar 2017</w:t>
      </w:r>
      <w:r>
        <w:rPr>
          <w:rStyle w:val="Character1"/>
          <w:sz w:val="24"/>
          <w:szCs w:val="24"/>
        </w:rPr>
        <w:t xml:space="preserve">. 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Anticorpii traverseaza placenta dar nu au efect negativ pe ty fetala. 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aparent doar prezenta anticorpilor este factor de risc pentru avort, nastere prematura,</w:t>
      </w:r>
      <w:r>
        <w:rPr>
          <w:rStyle w:val="Character1"/>
          <w:sz w:val="24"/>
          <w:szCs w:val="24"/>
        </w:rPr>
        <w:t xml:space="preserve"> disfunctie postpartum, IQ scazut la copil. 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33-50% din pc eutiroidiene cu ty autoimuna vor face tiroidita postpartum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Datele despre seleniu - contradictorii. In + poate creste riscul de dz2.deci momentan </w:t>
      </w:r>
      <w:r>
        <w:rPr>
          <w:rStyle w:val="Character1"/>
          <w:sz w:val="24"/>
          <w:szCs w:val="24"/>
        </w:rPr>
        <w:t xml:space="preserve">nu insarcina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Riscul de avort spontan crescut - OR 2,5. Cauza ? - se presupune ■ disfunctie ty; ■ </w:t>
      </w:r>
      <w:r>
        <w:rPr>
          <w:rStyle w:val="Character1"/>
          <w:sz w:val="24"/>
          <w:szCs w:val="24"/>
        </w:rPr>
        <w:t xml:space="preserve">interactie anticorpi cu receptorii de bHCG de la nivel ovarian;■ autoimunitate </w:t>
      </w:r>
      <w:r>
        <w:rPr>
          <w:rStyle w:val="Character1"/>
          <w:sz w:val="24"/>
          <w:szCs w:val="24"/>
        </w:rPr>
        <w:t xml:space="preserve">nespecifica ■ citokine endometriale crescute  la femeile cu  ty autoimuna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Probabil implicati si in avortul recurent (&gt;3), posibil in asociere cu ac antifosfolipidici. </w:t>
      </w:r>
      <w:r>
        <w:rPr>
          <w:rStyle w:val="Character1"/>
          <w:sz w:val="24"/>
          <w:szCs w:val="24"/>
        </w:rPr>
        <w:t xml:space="preserve">Eventual trt cu LT4 25-50 mcg, cat de precoce se poate in cazurile cu avort repetat. 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Risc mai mare de nastere prematura - dar nu se stie dc trt cu LT4 scade riscul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COMPLICATII ALE PREZENTEI DE ANTICORPI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- abrutio placentae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- depresie postnatala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- sindr de detresa resp a nn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- interziere in dezv neuromotorie la 25-30de luni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- frecventa mai mare de tulb de auz neurosenzoriale, care pot justifica intarzierea de </w:t>
      </w:r>
      <w:r>
        <w:rPr>
          <w:rStyle w:val="Character1"/>
          <w:sz w:val="24"/>
          <w:szCs w:val="24"/>
        </w:rPr>
        <w:t xml:space="preserve">dezvoltare. Recupereaza IQ pana pe la7 ani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- tulb de spectru autist mai frecvent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- sindr hiperkinetic cu deficit de atentie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8"/>
          <w:color w:val="FFC000"/>
          <w:sz w:val="24"/>
          <w:szCs w:val="24"/>
          <w:shd w:val="clear" w:color="auto" w:fill="FFFFFF"/>
        </w:rPr>
        <w:t>hipotiroxinemie</w:t>
      </w:r>
      <w:r>
        <w:rPr>
          <w:rStyle w:val="Character1"/>
          <w:sz w:val="24"/>
          <w:szCs w:val="24"/>
        </w:rPr>
        <w:t xml:space="preserve"> = TSH normal, T4 scazut. Cea mai frecventa cauza e deficitul de iod. </w:t>
      </w:r>
      <w:r>
        <w:rPr>
          <w:rStyle w:val="Character1"/>
          <w:sz w:val="24"/>
          <w:szCs w:val="24"/>
        </w:rPr>
        <w:t xml:space="preserve">Sintetizeaza t3 si nu creste TSH dar t3 nu are efect pe creierul fetal asa ca vine cu </w:t>
      </w:r>
      <w:r>
        <w:rPr>
          <w:rStyle w:val="Character1"/>
          <w:sz w:val="24"/>
          <w:szCs w:val="24"/>
        </w:rPr>
        <w:t xml:space="preserve">retard mintal ( -7 pcte de IQ, 15% IQ &lt;85%, fata de 5% in pop generala). 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Pana la 2% din sarcini dupa unii autori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hd w:val="clear" w:color="auto" w:fill="FFFF00"/>
          <w:sz w:val="24"/>
          <w:szCs w:val="24"/>
          <w:rFonts w:ascii="Arial" w:eastAsia="Arial" w:hAnsi="Arial"/>
        </w:rPr>
      </w:pPr>
      <w:r>
        <w:rPr>
          <w:rStyle w:val="Character10"/>
          <w:sz w:val="24"/>
          <w:szCs w:val="24"/>
          <w:shd w:val="clear" w:color="auto" w:fill="FFFF00"/>
        </w:rPr>
        <w:t xml:space="preserve">complicatii materne ale hypoty subclinic: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diabet gestational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greutate mica la nastere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avort spontan ( se dubleaza riscul pentru fiecare dublare a TSH)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preeclampsie si HTA de sarcina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nastere prematura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complicatii probabile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placental abrutio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mortalitate cresctuta prinatal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necesitate de terapie intensiva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hd w:val="clear" w:color="auto" w:fill="FFFF00"/>
          <w:sz w:val="24"/>
          <w:szCs w:val="24"/>
          <w:rFonts w:ascii="Arial" w:eastAsia="Arial" w:hAnsi="Arial"/>
        </w:rPr>
      </w:pPr>
      <w:r>
        <w:rPr>
          <w:rStyle w:val="Character10"/>
          <w:sz w:val="24"/>
          <w:szCs w:val="24"/>
          <w:shd w:val="clear" w:color="auto" w:fill="FFFF00"/>
        </w:rPr>
        <w:t xml:space="preserve">Complicatiile materne ale hipotyroxinemiei izolate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nastere prematura si foarte prematura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diabet gestational ( mai ales dc apare in trim 2)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Fat macrozom in unele studii sau retard de crestere IU si greutate mica la nastere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hd w:val="clear" w:color="auto" w:fill="FF3300"/>
          <w:sz w:val="24"/>
          <w:szCs w:val="24"/>
          <w:rFonts w:ascii="Arial" w:eastAsia="Arial" w:hAnsi="Arial"/>
        </w:rPr>
      </w:pPr>
      <w:r>
        <w:rPr>
          <w:rStyle w:val="Character12"/>
          <w:sz w:val="24"/>
          <w:szCs w:val="24"/>
          <w:shd w:val="clear" w:color="auto" w:fill="FF3300"/>
        </w:rPr>
        <w:t xml:space="preserve">complicatii fetale ale hypoty subclinic netratat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- pierde 7 puncte de IQ ( nu a fost confirmat de alt studiu efectuat doar pe hipoty </w:t>
      </w:r>
      <w:r>
        <w:rPr>
          <w:rStyle w:val="Character1"/>
          <w:sz w:val="24"/>
          <w:szCs w:val="24"/>
        </w:rPr>
        <w:t xml:space="preserve">subclinica); risc 15% de IQ&lt;85 vs 5% in pop generala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- tulburari de dezvoltare neurologica, vizuala</w:t>
      </w:r>
    </w:p>
    <w:p>
      <w:pPr>
        <w:pStyle w:val="a3"/>
        <w:numPr>
          <w:ilvl w:val="0"/>
          <w:numId w:val="1"/>
        </w:numPr>
        <w:jc w:val="left"/>
        <w:spacing w:line="312" w:lineRule="auto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tulburari de comportament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Complicatiile fetale ale hipotiroxinemiei – depide de severtitatea deficituui de iod, </w:t>
      </w:r>
      <w:r>
        <w:rPr>
          <w:rStyle w:val="Character1"/>
          <w:sz w:val="24"/>
          <w:szCs w:val="24"/>
        </w:rPr>
        <w:t xml:space="preserve">poate merge pana la cretinism 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6"/>
          <w:sz w:val="24"/>
          <w:szCs w:val="24"/>
          <w:shd w:val="clear" w:color="auto" w:fill="00CC33"/>
        </w:rPr>
        <w:t>Tratez</w:t>
      </w:r>
      <w:r>
        <w:rPr>
          <w:rStyle w:val="Character5"/>
          <w:sz w:val="24"/>
          <w:szCs w:val="24"/>
          <w:shd w:val="clear" w:color="auto" w:fill="FFFFFF"/>
        </w:rPr>
        <w:t xml:space="preserve"> hipoty clinica sau subclinica cu euthyrox ai sa normalizez TSH-ul la valoarea </w:t>
      </w:r>
      <w:r>
        <w:rPr>
          <w:rStyle w:val="Character5"/>
          <w:sz w:val="24"/>
          <w:szCs w:val="24"/>
          <w:shd w:val="clear" w:color="auto" w:fill="FFFFFF"/>
        </w:rPr>
        <w:t xml:space="preserve">trimestrului, NU T3 sau extract de tiroida uscata.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NB ghid 2011: in hipotiroidia subclinica cu anticorpi + tratez; in cea cu anticorpi </w:t>
      </w:r>
      <w:r>
        <w:rPr>
          <w:rStyle w:val="Character5"/>
          <w:sz w:val="24"/>
          <w:szCs w:val="24"/>
          <w:shd w:val="clear" w:color="auto" w:fill="FFFFFF"/>
        </w:rPr>
        <w:t xml:space="preserve">negativi – nu stiau dc trb trt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la pacientele cu trt anterior cu LT4 – prima miscare dublez doza 2 zile (la </w:t>
      </w:r>
      <w:r>
        <w:rPr>
          <w:rStyle w:val="Character5"/>
          <w:sz w:val="24"/>
          <w:szCs w:val="24"/>
          <w:shd w:val="clear" w:color="auto" w:fill="FFFFFF"/>
        </w:rPr>
        <w:t xml:space="preserve">distanta)/sapt sau crestere cu 25-30% pe zi. Inceput cand intarzie menstra sau testul </w:t>
      </w:r>
      <w:r>
        <w:rPr>
          <w:rStyle w:val="Character5"/>
          <w:sz w:val="24"/>
          <w:szCs w:val="24"/>
          <w:shd w:val="clear" w:color="auto" w:fill="FFFFFF"/>
        </w:rPr>
        <w:t xml:space="preserve">de sarcina e  +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monitorizare lunara pana in sapt 20 apoi se poate mai rar; dupa nastere ma intorc pe  </w:t>
      </w:r>
      <w:r>
        <w:rPr>
          <w:rStyle w:val="Character5"/>
          <w:sz w:val="24"/>
          <w:szCs w:val="24"/>
          <w:shd w:val="clear" w:color="auto" w:fill="FFFFFF"/>
        </w:rPr>
        <w:t xml:space="preserve">doza anterioara si monitorizez a 6 sapt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nu am inca studii pt hipotiroxinemie - corectez deficitul de iod, cat mai repede cu atat </w:t>
      </w:r>
      <w:r>
        <w:rPr>
          <w:rStyle w:val="Character5"/>
          <w:sz w:val="24"/>
          <w:szCs w:val="24"/>
          <w:shd w:val="clear" w:color="auto" w:fill="FFFFFF"/>
        </w:rPr>
        <w:t xml:space="preserve">mai bine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  <w:r>
        <w:rPr>
          <w:rStyle w:val="Character17"/>
          <w:sz w:val="22"/>
          <w:szCs w:val="22"/>
          <w:shd w:val="clear" w:color="auto" w:fill="FFFFFF"/>
        </w:rPr>
        <w:t xml:space="preserve">Tratez hipotroidia subclinica inainte de reprod umana asistat. Eventual tratez cu 25-50 mcg pe cele </w:t>
      </w:r>
      <w:r>
        <w:rPr>
          <w:rStyle w:val="Character17"/>
          <w:sz w:val="22"/>
          <w:szCs w:val="22"/>
          <w:shd w:val="clear" w:color="auto" w:fill="FFFFFF"/>
        </w:rPr>
        <w:t xml:space="preserve">cu etiroidism  si anticorpi +. 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  <w:r>
        <w:rPr>
          <w:rStyle w:val="Character17"/>
          <w:sz w:val="22"/>
          <w:szCs w:val="22"/>
          <w:shd w:val="clear" w:color="auto" w:fill="FFFFFF"/>
        </w:rPr>
        <w:t xml:space="preserve">Testez TS la 1-2 sapt inainte sau dupa suprastimularea ovariana cu FSH/LH  - nu concomitent cu ea pt </w:t>
      </w:r>
      <w:r>
        <w:rPr>
          <w:rStyle w:val="Character17"/>
          <w:sz w:val="22"/>
          <w:szCs w:val="22"/>
          <w:shd w:val="clear" w:color="auto" w:fill="FFFFFF"/>
        </w:rPr>
        <w:t xml:space="preserve">ca poate determina crestete tranzitorie de TSH. la cele care obtin sarcina tratez ch protocolului, la </w:t>
      </w:r>
      <w:r>
        <w:rPr>
          <w:rStyle w:val="Character17"/>
          <w:sz w:val="22"/>
          <w:szCs w:val="22"/>
          <w:shd w:val="clear" w:color="auto" w:fill="FFFFFF"/>
        </w:rPr>
        <w:t xml:space="preserve">cele care nu obtin sarcina  repet peste 1 luna daca este modificat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Mecanisme de act ale hh ty pe fat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Receptori se gasesc din sapt 8 in SNC fetal. Necesita T4 matern care e convertit in </w:t>
      </w:r>
      <w:r>
        <w:rPr>
          <w:rStyle w:val="Character1"/>
          <w:sz w:val="24"/>
          <w:szCs w:val="24"/>
        </w:rPr>
        <w:t xml:space="preserve">T3 in SNC-ul fetal, singura sursa pana in sapt 20. Rol in proliferarea neuronala, </w:t>
      </w:r>
      <w:r>
        <w:rPr>
          <w:rStyle w:val="Character1"/>
          <w:sz w:val="24"/>
          <w:szCs w:val="24"/>
        </w:rPr>
        <w:t xml:space="preserve">migrare neuronala in cortex, hipocamp, ggl mediali. Dupa S 20 apare sinteza proprie </w:t>
      </w:r>
      <w:r>
        <w:rPr>
          <w:rStyle w:val="Character1"/>
          <w:sz w:val="24"/>
          <w:szCs w:val="24"/>
        </w:rPr>
        <w:t xml:space="preserve">de hh ty si etapa a doua de dezvoltare neurologica=neurogeneza, migrare neuronala, </w:t>
      </w:r>
      <w:r>
        <w:rPr>
          <w:rStyle w:val="Character1"/>
          <w:sz w:val="24"/>
          <w:szCs w:val="24"/>
        </w:rPr>
        <w:t xml:space="preserve">crestere axonala si ramificare dendritica, generare sinapse, diferentiere cel gliale si </w:t>
      </w:r>
      <w:r>
        <w:rPr>
          <w:rStyle w:val="Character1"/>
          <w:sz w:val="24"/>
          <w:szCs w:val="24"/>
        </w:rPr>
        <w:t xml:space="preserve">debutul mielinizarii. 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Stadiul 3 e postnatal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Chiar dc ty fetala incepe sa functineze din  S20 VIU, rezervele sunt insuficiente si </w:t>
      </w:r>
      <w:r>
        <w:rPr>
          <w:rStyle w:val="Character1"/>
          <w:sz w:val="24"/>
          <w:szCs w:val="24"/>
        </w:rPr>
        <w:t xml:space="preserve">necesita suplimentare materna. De aceea prematurii au hipotiroxinemie care poate fi </w:t>
      </w:r>
      <w:r>
        <w:rPr>
          <w:rStyle w:val="Character1"/>
          <w:sz w:val="24"/>
          <w:szCs w:val="24"/>
        </w:rPr>
        <w:t xml:space="preserve">partial responsabila de retardul lor initial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in caz de deficit de iod mama face captare crescuta si sinteza preferentiala de T3.  in </w:t>
      </w:r>
      <w:r>
        <w:rPr>
          <w:rStyle w:val="Character1"/>
          <w:sz w:val="24"/>
          <w:szCs w:val="24"/>
        </w:rPr>
        <w:t xml:space="preserve">timp, hipertrofie ty si gusa. 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fatul nu poate folosi T3, devine hipotiroidian. de aceea TSH-ul fetal e un index al </w:t>
      </w:r>
      <w:r>
        <w:rPr>
          <w:rStyle w:val="Character1"/>
          <w:sz w:val="24"/>
          <w:szCs w:val="24"/>
        </w:rPr>
        <w:t xml:space="preserve">aportului de iod din populatie. Deci efectele hipotiroidismului matern din trim 1  sunt </w:t>
      </w:r>
      <w:r>
        <w:rPr>
          <w:rStyle w:val="Character1"/>
          <w:sz w:val="24"/>
          <w:szCs w:val="24"/>
        </w:rPr>
        <w:t xml:space="preserve">agravate de efectele hipotiroidismului fetal in trim 2(dupa s20).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Masor apotul de iod prin ioduria spontana. Normal &gt;100mmcg/l la pop gen, &gt;150 </w:t>
      </w:r>
      <w:r>
        <w:rPr>
          <w:rStyle w:val="Character1"/>
          <w:sz w:val="24"/>
          <w:szCs w:val="24"/>
        </w:rPr>
        <w:t xml:space="preserve">mcg/l la gravida pt a avea aport suficient de iod. 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8"/>
          <w:sz w:val="24"/>
          <w:szCs w:val="24"/>
          <w:shd w:val="clear" w:color="auto" w:fill="CC3300"/>
        </w:rPr>
        <w:t xml:space="preserve">Cretinismul </w:t>
      </w:r>
      <w:r>
        <w:rPr>
          <w:rStyle w:val="Character1"/>
          <w:sz w:val="24"/>
          <w:szCs w:val="24"/>
        </w:rPr>
        <w:t xml:space="preserve">este dat de deficitul sever de iod.(iodurie&lt;30) In plus, in acele zone multi </w:t>
      </w:r>
      <w:r>
        <w:rPr>
          <w:rStyle w:val="Character1"/>
          <w:sz w:val="24"/>
          <w:szCs w:val="24"/>
        </w:rPr>
        <w:t xml:space="preserve">copii au IQ mai scazut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neurological cretinism: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    mental retardation, IQ 30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    deaf mutism, 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    squint, 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    spastic diplegia, and 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    disorders of the stance and gait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myxoedematous or hypothyroid cretinism 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      less severe mental retardation, 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      dwarfism, 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       hypothyroidism,</w:t>
      </w: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       coarse and dry skin, a husky voice, and delayed sexual maturation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Efectele deficitului moderat de iod - aparent dezvoltare neurologica mai deficitara dar </w:t>
      </w:r>
      <w:r>
        <w:rPr>
          <w:rStyle w:val="Character1"/>
          <w:sz w:val="24"/>
          <w:szCs w:val="24"/>
        </w:rPr>
        <w:t xml:space="preserve">studiile controlate sunt in desfasurare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HIPERTIROIDIA DIN SARCINA</w:t>
      </w:r>
    </w:p>
    <w:p>
      <w:pPr>
        <w:pStyle w:val="Para4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5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0,2% sarcini. </w:t>
      </w:r>
    </w:p>
    <w:p>
      <w:pPr>
        <w:pStyle w:val="Para5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sz w:val="20"/>
        </w:rPr>
        <w:pict>
          <v:rect id="_x0000_s0" alt="PenDraw 1" type="#_x0000_t1" style="position:absolute;left:0;margin-left:75pt;margin-top:490pt;width:1pt;height:0pt;z-index:251624961;mso-position-horizontal-relative:page;mso-position-vertical-relative:page" stroked="f" filled="f">
            <o:lock v:ext="edit" selection="t"/>
          </v:rect>
        </w:pict>
      </w:r>
      <w:r>
        <w:rPr>
          <w:sz w:val="20"/>
        </w:rPr>
        <w:pict>
          <v:rect id="_x0000_s0" alt="PenDraw 2" type="#_x0000_t1" style="position:absolute;left:0;margin-left:72pt;margin-top:494pt;width:1pt;height:1pt;z-index:251624960;mso-position-horizontal-relative:page;mso-position-vertical-relative:page" stroked="f" filled="f">
            <o:lock v:ext="edit" selection="t"/>
          </v:rect>
        </w:pict>
      </w:r>
      <w:r>
        <w:rPr>
          <w:rStyle w:val="Character1"/>
          <w:sz w:val="24"/>
          <w:szCs w:val="24"/>
        </w:rPr>
        <w:t xml:space="preserve">Cauza principala – B. Basedow 1% gravide. Rar alte cauze – gusa polinodulara </w:t>
      </w:r>
      <w:r>
        <w:rPr>
          <w:rStyle w:val="Character1"/>
          <w:sz w:val="24"/>
          <w:szCs w:val="24"/>
        </w:rPr>
        <w:t xml:space="preserve">toxica; nodul toxic; iatrogena; struma ovarii; tiroidita subacuta/painless</w:t>
      </w:r>
    </w:p>
    <w:p>
      <w:pPr>
        <w:pStyle w:val="Para5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Clinic - lipsa de crestere i  greutate, tahicardie, semne de TTX. </w:t>
      </w:r>
    </w:p>
    <w:p>
      <w:pPr>
        <w:pStyle w:val="Para5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        - agravare in prima jum a sarcinii, apoi ameliorare, agravare postpartum.</w:t>
      </w:r>
    </w:p>
    <w:p>
      <w:pPr>
        <w:pStyle w:val="Para5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A nu se confunda cu tiroxinemia gravidica, care apartine primii ½ de sarcina, datorita </w:t>
      </w:r>
      <w:r>
        <w:rPr>
          <w:rStyle w:val="Character1"/>
          <w:sz w:val="24"/>
          <w:szCs w:val="24"/>
        </w:rPr>
        <w:t xml:space="preserve">beta HCG; ocazional asociata cu hyperemesis gravidarium (greturi, varstaturi, </w:t>
      </w:r>
      <w:r>
        <w:rPr>
          <w:rStyle w:val="Character1"/>
          <w:sz w:val="24"/>
          <w:szCs w:val="24"/>
        </w:rPr>
        <w:t xml:space="preserve">scadere 5% in greutate; deshidratare; cetoza; slabiciune musc, dispnee, oboseala, </w:t>
      </w:r>
      <w:r>
        <w:rPr>
          <w:rStyle w:val="Character1"/>
          <w:sz w:val="24"/>
          <w:szCs w:val="24"/>
        </w:rPr>
        <w:t xml:space="preserve">insomnii, ). Poate apare TTX sec beta HCG in mola; sarcini gemelare; coriocacinom </w:t>
      </w:r>
      <w:r>
        <w:rPr>
          <w:rStyle w:val="Character1"/>
          <w:sz w:val="24"/>
          <w:szCs w:val="24"/>
        </w:rPr>
        <w:t xml:space="preserve">molar. </w:t>
      </w:r>
    </w:p>
    <w:p>
      <w:pPr>
        <w:pStyle w:val="Para5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TTX – TSH supresat + fT4 crescut; daca da – TRAb, T3</w:t>
      </w:r>
    </w:p>
    <w:p>
      <w:pPr>
        <w:pStyle w:val="Para6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5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trt: </w:t>
      </w:r>
    </w:p>
    <w:p>
      <w:pPr>
        <w:pStyle w:val="Para5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hipertiroxinemia gravidica si hyperemesis gravidarium → trt de sustinere; daca nu </w:t>
      </w:r>
      <w:r>
        <w:rPr>
          <w:rStyle w:val="Character1"/>
          <w:sz w:val="24"/>
          <w:szCs w:val="24"/>
        </w:rPr>
        <w:t xml:space="preserve">pot face distinctia dintre BB si hyperemesis gravidarium → cura scurta de ATS. Daca </w:t>
      </w:r>
      <w:r>
        <w:rPr>
          <w:rStyle w:val="Character1"/>
          <w:sz w:val="24"/>
          <w:szCs w:val="24"/>
        </w:rPr>
        <w:t xml:space="preserve">recidiveaza BB</w:t>
      </w:r>
    </w:p>
    <w:p>
      <w:pPr>
        <w:pStyle w:val="Para6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5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trt preventiv TTX</w:t>
      </w:r>
    </w:p>
    <w:p>
      <w:pPr>
        <w:pStyle w:val="a3"/>
        <w:numPr>
          <w:ilvl w:val="0"/>
          <w:numId w:val="2"/>
        </w:numPr>
        <w:jc w:val="both"/>
        <w:spacing w:line="312" w:lineRule="auto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iod – minim 6 luni de contraceptie dupa; TRAb cresc dupa Iod si raman </w:t>
      </w:r>
      <w:r>
        <w:rPr>
          <w:rStyle w:val="Character1"/>
          <w:sz w:val="24"/>
          <w:szCs w:val="24"/>
        </w:rPr>
        <w:t xml:space="preserve">crescuti multe luni dupa</w:t>
      </w:r>
    </w:p>
    <w:p>
      <w:pPr>
        <w:pStyle w:val="a3"/>
        <w:numPr>
          <w:ilvl w:val="0"/>
          <w:numId w:val="3"/>
        </w:numPr>
        <w:jc w:val="both"/>
        <w:spacing w:line="312" w:lineRule="auto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ATS – PTU 150mg*2/zi in primul trimestru apoi metimazol 10-20 mg/zi pentru </w:t>
      </w:r>
      <w:r>
        <w:rPr>
          <w:rStyle w:val="Character1"/>
          <w:sz w:val="24"/>
          <w:szCs w:val="24"/>
        </w:rPr>
        <w:t xml:space="preserve">a evita afectarea hepatica a PTU. Propranolol pe durata scudta</w:t>
      </w:r>
    </w:p>
    <w:p>
      <w:pPr>
        <w:pStyle w:val="a3"/>
        <w:numPr>
          <w:ilvl w:val="0"/>
          <w:numId w:val="4"/>
        </w:numPr>
        <w:jc w:val="both"/>
        <w:spacing w:line="312" w:lineRule="auto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1"/>
          <w:sz w:val="24"/>
          <w:szCs w:val="24"/>
        </w:rPr>
        <w:t xml:space="preserve">tiroidectomie trim 2</w:t>
      </w:r>
    </w:p>
    <w:p>
      <w:pPr>
        <w:pStyle w:val="Para5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7"/>
          <w:color w:val="9966CC"/>
          <w:sz w:val="24"/>
          <w:szCs w:val="24"/>
          <w:shd w:val="clear" w:color="auto" w:fill="FFFFFF"/>
        </w:rPr>
        <w:t xml:space="preserve">complicatii hipertiroidie in sarcina</w:t>
      </w:r>
      <w:r>
        <w:rPr>
          <w:rStyle w:val="Character1"/>
          <w:sz w:val="24"/>
          <w:szCs w:val="24"/>
        </w:rPr>
        <w:t xml:space="preserve"> – avort; retard de crestere intrauterin; </w:t>
      </w:r>
      <w:r>
        <w:rPr>
          <w:rStyle w:val="Character1"/>
          <w:sz w:val="24"/>
          <w:szCs w:val="24"/>
        </w:rPr>
        <w:t xml:space="preserve">prematuritate; greutate mica la nastere; abruptio placentae; SGA; hiperty </w:t>
      </w:r>
      <w:r>
        <w:rPr>
          <w:rStyle w:val="Character1"/>
          <w:sz w:val="24"/>
          <w:szCs w:val="24"/>
        </w:rPr>
        <w:t xml:space="preserve">neonatal,nou nascut mort; sinostoza craniana, furtuna tiroidiana; ICC materna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7"/>
          <w:color w:val="9966CC"/>
          <w:sz w:val="24"/>
          <w:szCs w:val="24"/>
          <w:shd w:val="clear" w:color="auto" w:fill="FFFFFF"/>
        </w:rPr>
        <w:t xml:space="preserve">complicatii trt ATS in sarcina</w:t>
      </w:r>
      <w:r>
        <w:rPr>
          <w:rStyle w:val="Character1"/>
          <w:sz w:val="24"/>
          <w:szCs w:val="24"/>
        </w:rPr>
        <w:t xml:space="preserve"> – mai ales legate de metimazol</w:t>
      </w:r>
    </w:p>
    <w:p>
      <w:pPr>
        <w:pStyle w:val="a3"/>
        <w:numPr>
          <w:ilvl w:val="0"/>
          <w:numId w:val="5"/>
        </w:numPr>
        <w:jc w:val="left"/>
        <w:spacing w:line="312" w:lineRule="auto"/>
        <w:ind w:left="0" w:hanging="0"/>
        <w:rPr>
          <w:sz w:val="20"/>
          <w:szCs w:val="20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aplazia cutis</w:t>
      </w:r>
    </w:p>
    <w:p>
      <w:pPr>
        <w:pStyle w:val="a3"/>
        <w:numPr>
          <w:ilvl w:val="0"/>
          <w:numId w:val="6"/>
        </w:numPr>
        <w:jc w:val="left"/>
        <w:spacing w:line="312" w:lineRule="auto"/>
        <w:ind w:left="0" w:hanging="0"/>
        <w:rPr>
          <w:shd w:val="clear" w:color="auto" w:fill="FFFFFF"/>
          <w:sz w:val="20"/>
          <w:szCs w:val="20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embriopatia metimazolica: dismorfie faciala; agenezie de cloaca si esofag</w:t>
      </w:r>
    </w:p>
    <w:p>
      <w:pPr>
        <w:pStyle w:val="a3"/>
        <w:numPr>
          <w:ilvl w:val="0"/>
          <w:numId w:val="7"/>
        </w:numPr>
        <w:jc w:val="left"/>
        <w:spacing w:line="312" w:lineRule="auto"/>
        <w:ind w:left="0" w:hanging="0"/>
        <w:rPr>
          <w:shd w:val="clear" w:color="auto" w:fill="FFFFFF"/>
          <w:sz w:val="20"/>
          <w:szCs w:val="20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afectare hepatica sec PTU – poate apare oricand in timpul trt; monitorizez </w:t>
      </w:r>
      <w:r>
        <w:rPr>
          <w:rStyle w:val="Character5"/>
          <w:sz w:val="24"/>
          <w:szCs w:val="24"/>
          <w:shd w:val="clear" w:color="auto" w:fill="FFFFFF"/>
        </w:rPr>
        <w:t xml:space="preserve">functia hepatica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hd w:val="clear" w:color="auto" w:fill="FFFFFF"/>
          <w:sz w:val="24"/>
          <w:szCs w:val="24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doze: PTU 50-300mg/zi, in mai multe prize; CBZ; Metimazol 5-15 mg pe zi</w:t>
      </w:r>
    </w:p>
    <w:p>
      <w:pPr>
        <w:pStyle w:val="Para2"/>
        <w:spacing w:line="312" w:lineRule="auto"/>
        <w:ind w:left="0" w:hanging="0"/>
        <w:rPr>
          <w:sz w:val="24"/>
          <w:szCs w:val="24"/>
          <w:shd w:val="clear" w:color="auto" w:fill="FFFFFF"/>
          <w:sz w:val="24"/>
          <w:szCs w:val="24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          propranolol 20-40 mg la 6-8 ore, oprit cand se poate (reactii adverse al trt de </w:t>
      </w:r>
      <w:r>
        <w:rPr>
          <w:rStyle w:val="Character5"/>
          <w:sz w:val="24"/>
          <w:szCs w:val="24"/>
          <w:shd w:val="clear" w:color="auto" w:fill="FFFFFF"/>
        </w:rPr>
        <w:t xml:space="preserve">lunga durata – retrad de crestere intrauterin; bradicardie fetala; hipoglicemie nn)</w:t>
      </w:r>
    </w:p>
    <w:p>
      <w:pPr>
        <w:pStyle w:val="Para2"/>
        <w:spacing w:line="312" w:lineRule="auto"/>
        <w:ind w:left="0" w:hanging="0"/>
        <w:rPr>
          <w:sz w:val="24"/>
          <w:szCs w:val="24"/>
          <w:shd w:val="clear" w:color="auto" w:fill="FFFFFF"/>
          <w:sz w:val="24"/>
          <w:szCs w:val="24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!! terapie block and replace doar pt hipertiroidia fetala</w:t>
      </w:r>
    </w:p>
    <w:p>
      <w:pPr>
        <w:pStyle w:val="Para2"/>
        <w:spacing w:line="312" w:lineRule="auto"/>
        <w:ind w:left="0" w:hanging="0"/>
        <w:rPr>
          <w:sz w:val="24"/>
          <w:szCs w:val="24"/>
          <w:shd w:val="clear" w:color="auto" w:fill="FFFFFF"/>
          <w:sz w:val="24"/>
          <w:szCs w:val="24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scop- fT4 high normal sau doar usor crescut</w:t>
      </w:r>
    </w:p>
    <w:p>
      <w:pPr>
        <w:pStyle w:val="Para2"/>
        <w:spacing w:line="312" w:lineRule="auto"/>
        <w:ind w:left="0" w:hanging="0"/>
        <w:rPr>
          <w:sz w:val="24"/>
          <w:szCs w:val="24"/>
          <w:shd w:val="clear" w:color="auto" w:fill="FFFFFF"/>
          <w:sz w:val="24"/>
          <w:szCs w:val="24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monitorizez la 2-4 sapt la inceput apoi lunar (! nu monitorizez T3 pt ca daca il </w:t>
      </w:r>
      <w:r>
        <w:rPr>
          <w:rStyle w:val="Character5"/>
          <w:sz w:val="24"/>
          <w:szCs w:val="24"/>
          <w:shd w:val="clear" w:color="auto" w:fill="FFFFFF"/>
        </w:rPr>
        <w:t xml:space="preserve">normalizez pot determina hipotiroidism fetal; exc pc cu gusa toxica care sintetizeaza </w:t>
      </w:r>
      <w:r>
        <w:rPr>
          <w:rStyle w:val="Character5"/>
          <w:sz w:val="24"/>
          <w:szCs w:val="24"/>
          <w:shd w:val="clear" w:color="auto" w:fill="FFFFFF"/>
        </w:rPr>
        <w:t xml:space="preserve">predominant T3). </w:t>
      </w:r>
    </w:p>
    <w:p>
      <w:pPr>
        <w:pStyle w:val="Para2"/>
        <w:spacing w:line="312" w:lineRule="auto"/>
        <w:ind w:left="0" w:hanging="0"/>
        <w:rPr>
          <w:sz w:val="24"/>
          <w:szCs w:val="24"/>
          <w:shd w:val="clear" w:color="auto" w:fill="FFFFFF"/>
          <w:sz w:val="24"/>
          <w:szCs w:val="24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De obicei in trim 3 20-30% din femei nu mai au nevoie de trt. Pt tiroidectomie – trim 2.</w:t>
      </w:r>
      <w:r>
        <w:rPr>
          <w:rStyle w:val="Character5"/>
          <w:sz w:val="24"/>
          <w:szCs w:val="24"/>
          <w:shd w:val="clear" w:color="auto" w:fill="FFFFFF"/>
        </w:rPr>
        <w:t xml:space="preserve"> 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hd w:val="clear" w:color="auto" w:fill="FFFFFF"/>
          <w:sz w:val="24"/>
          <w:szCs w:val="24"/>
          <w:rFonts w:ascii="Arial" w:eastAsia="Arial" w:hAnsi="Arial"/>
        </w:rPr>
      </w:pPr>
      <w:r>
        <w:rPr>
          <w:rStyle w:val="Character7"/>
          <w:color w:val="9966CC"/>
          <w:sz w:val="24"/>
          <w:szCs w:val="24"/>
          <w:shd w:val="clear" w:color="auto" w:fill="FFFFFF"/>
        </w:rPr>
        <w:t xml:space="preserve">complicatii fetale/neonatale tiroidiene</w:t>
      </w:r>
      <w:r>
        <w:rPr>
          <w:rStyle w:val="Character5"/>
          <w:sz w:val="24"/>
          <w:szCs w:val="24"/>
          <w:shd w:val="clear" w:color="auto" w:fill="FFFFFF"/>
        </w:rPr>
        <w:t xml:space="preserve"> – hipotiroidia fetala (doze mari de ATS sau </w:t>
      </w:r>
      <w:r>
        <w:rPr>
          <w:rStyle w:val="Character5"/>
          <w:sz w:val="24"/>
          <w:szCs w:val="24"/>
          <w:shd w:val="clear" w:color="auto" w:fill="FFFFFF"/>
        </w:rPr>
        <w:t xml:space="preserve">TRAb blocanti); hipertirodie fetala (TRAb in cantitate mare S 22-26 – 1-5% din nn din </w:t>
      </w:r>
      <w:r>
        <w:rPr>
          <w:rStyle w:val="Character5"/>
          <w:sz w:val="24"/>
          <w:szCs w:val="24"/>
          <w:shd w:val="clear" w:color="auto" w:fill="FFFFFF"/>
        </w:rPr>
        <w:t xml:space="preserve">mame cu BB activa sau post Iod); hipotiroidia neonatala; hipertirodia neonatala; </w:t>
      </w:r>
      <w:r>
        <w:rPr>
          <w:rStyle w:val="Character5"/>
          <w:sz w:val="24"/>
          <w:szCs w:val="24"/>
          <w:shd w:val="clear" w:color="auto" w:fill="FFFFFF"/>
        </w:rPr>
        <w:t xml:space="preserve">hipotiroidia centrala (exces de hh ty materni). </w:t>
      </w:r>
    </w:p>
    <w:p>
      <w:pPr>
        <w:pStyle w:val="Para2"/>
        <w:spacing w:line="312" w:lineRule="auto"/>
        <w:ind w:left="0" w:hanging="0"/>
        <w:rPr>
          <w:sz w:val="24"/>
          <w:szCs w:val="24"/>
          <w:shd w:val="clear" w:color="auto" w:fill="FFFFFF"/>
          <w:sz w:val="24"/>
          <w:szCs w:val="24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Dozez TRAB in sat 24-28 → dc de 3*&gt; → risc de hiperty fetala (la eco: tahicardie </w:t>
      </w:r>
      <w:r>
        <w:rPr>
          <w:rStyle w:val="Character5"/>
          <w:sz w:val="24"/>
          <w:szCs w:val="24"/>
          <w:shd w:val="clear" w:color="auto" w:fill="FFFFFF"/>
        </w:rPr>
        <w:t xml:space="preserve">&gt;170; gusa; hidrops; maturare osoasa avnasata; ICC fetala; retard de crestere. </w:t>
      </w:r>
      <w:r>
        <w:rPr>
          <w:rStyle w:val="Character5"/>
          <w:sz w:val="24"/>
          <w:szCs w:val="24"/>
          <w:shd w:val="clear" w:color="auto" w:fill="FFFFFF"/>
        </w:rPr>
        <w:t xml:space="preserve">Eventual recoltare de sange din cordonul ombilical dc are gusa si nu stiu ce status ty </w:t>
      </w:r>
      <w:r>
        <w:rPr>
          <w:rStyle w:val="Character5"/>
          <w:sz w:val="24"/>
          <w:szCs w:val="24"/>
          <w:shd w:val="clear" w:color="auto" w:fill="FFFFFF"/>
        </w:rPr>
        <w:t xml:space="preserve">are. </w:t>
      </w:r>
    </w:p>
    <w:p>
      <w:pPr>
        <w:pStyle w:val="Para0"/>
        <w:spacing w:line="312" w:lineRule="auto"/>
        <w:ind w:left="0" w:hanging="0"/>
        <w:rPr>
          <w:sz w:val="24"/>
          <w:szCs w:val="24"/>
          <w:shd w:val="clear" w:color="auto" w:fill="FFFFFF"/>
          <w:sz w:val="24"/>
          <w:szCs w:val="24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Hipertiroidie  postpartum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2"/>
        <w:spacing w:line="312" w:lineRule="auto"/>
        <w:ind w:left="0" w:hanging="0"/>
        <w:rPr>
          <w:sz w:val="24"/>
          <w:szCs w:val="24"/>
          <w:shd w:val="clear" w:color="auto" w:fill="FFFFFF"/>
          <w:sz w:val="24"/>
          <w:szCs w:val="24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faza de hipertiroide ce debuteaza in primele 6 luni postpartum si se remite spontan. </w:t>
      </w:r>
    </w:p>
    <w:p>
      <w:pPr>
        <w:pStyle w:val="Para2"/>
        <w:spacing w:line="312" w:lineRule="auto"/>
        <w:ind w:left="0" w:hanging="0"/>
        <w:rPr>
          <w:sz w:val="24"/>
          <w:szCs w:val="24"/>
          <w:shd w:val="clear" w:color="auto" w:fill="FFFFFF"/>
          <w:sz w:val="24"/>
          <w:szCs w:val="24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Cele cu istoric de BB pot face recidiva de BB (84% rata de recadere vs 54% la </w:t>
      </w:r>
      <w:r>
        <w:rPr>
          <w:rStyle w:val="Character5"/>
          <w:sz w:val="24"/>
          <w:szCs w:val="24"/>
          <w:shd w:val="clear" w:color="auto" w:fill="FFFFFF"/>
        </w:rPr>
        <w:t xml:space="preserve">femeile care nu au sarcina)</w:t>
      </w:r>
    </w:p>
    <w:p>
      <w:pPr>
        <w:pStyle w:val="Para2"/>
        <w:spacing w:line="312" w:lineRule="auto"/>
        <w:ind w:left="0" w:hanging="0"/>
        <w:rPr>
          <w:sz w:val="24"/>
          <w:szCs w:val="24"/>
          <w:shd w:val="clear" w:color="auto" w:fill="FFFFFF"/>
          <w:sz w:val="24"/>
          <w:szCs w:val="24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dg dif: TRAb; T4:T3 crescut in tiroidita postpartum; oftalmopatie</w:t>
      </w:r>
    </w:p>
    <w:p>
      <w:pPr>
        <w:pStyle w:val="Para2"/>
        <w:spacing w:line="312" w:lineRule="auto"/>
        <w:ind w:left="0" w:hanging="0"/>
        <w:rPr>
          <w:sz w:val="24"/>
          <w:szCs w:val="24"/>
          <w:shd w:val="clear" w:color="auto" w:fill="FFFFFF"/>
          <w:sz w:val="24"/>
          <w:szCs w:val="24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            scintigrama cu Tc/Iod 123 → reia alaptarea dupa cateva zile</w:t>
      </w:r>
    </w:p>
    <w:p>
      <w:pPr>
        <w:pStyle w:val="Para2"/>
        <w:spacing w:line="312" w:lineRule="auto"/>
        <w:ind w:left="0" w:hanging="0"/>
        <w:rPr>
          <w:sz w:val="24"/>
          <w:szCs w:val="24"/>
          <w:shd w:val="clear" w:color="auto" w:fill="FFFFFF"/>
          <w:sz w:val="24"/>
          <w:szCs w:val="24"/>
          <w:rFonts w:ascii="Arial" w:eastAsia="Arial" w:hAnsi="Arial"/>
        </w:rPr>
      </w:pPr>
      <w:r>
        <w:rPr>
          <w:rStyle w:val="Character5"/>
          <w:sz w:val="24"/>
          <w:szCs w:val="24"/>
          <w:shd w:val="clear" w:color="auto" w:fill="FFFFFF"/>
        </w:rPr>
        <w:t xml:space="preserve">trt BB – metymazol 20-30 mg, administrat dupa alaptare</w:t>
      </w: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p>
      <w:pPr>
        <w:pStyle w:val="Para1"/>
        <w:spacing w:line="312" w:lineRule="auto"/>
        <w:ind w:left="0" w:hanging="0"/>
        <w:rPr>
          <w:sz w:val="22"/>
          <w:szCs w:val="22"/>
          <w:shd w:val="clear" w:color="auto" w:fill="FFFFFF"/>
          <w:sz w:val="22"/>
          <w:szCs w:val="22"/>
          <w:rFonts w:ascii="Calibri" w:eastAsia="Calibri" w:hAnsi="Calibri"/>
        </w:rPr>
      </w:pPr>
    </w:p>
    <w:sectPr>
      <w:pgSz w:w="11906" w:h="16838"/>
      <w:pgMar w:top="1701" w:right="1440" w:bottom="1440" w:left="1440" w:header="851" w:footer="992" w:gutter="0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071184852"/>
    <w:lvl w:ilvl="0">
      <w:start w:val="0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</w:abstractNum>
  <w:abstractNum w:abstractNumId="1">
    <w:nsid w:val="1"/>
    <w:multiLevelType w:val="hybridMultilevel"/>
    <w:tmpl w:val="1041207667"/>
    <w:lvl w:ilvl="0">
      <w:start w:val="0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</w:abstractNum>
  <w:abstractNum w:abstractNumId="2">
    <w:nsid w:val="2"/>
    <w:multiLevelType w:val="hybridMultilevel"/>
    <w:tmpl w:val="1640573411"/>
    <w:lvl w:ilvl="0">
      <w:start w:val="0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</w:abstractNum>
  <w:abstractNum w:abstractNumId="3">
    <w:nsid w:val="3"/>
    <w:multiLevelType w:val="hybridMultilevel"/>
    <w:tmpl w:val="667507756"/>
    <w:lvl w:ilvl="0">
      <w:start w:val="0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</w:abstractNum>
  <w:abstractNum w:abstractNumId="4">
    <w:nsid w:val="4"/>
    <w:multiLevelType w:val="hybridMultilevel"/>
    <w:tmpl w:val="1846586230"/>
    <w:lvl w:ilvl="0">
      <w:start w:val="0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</w:abstractNum>
  <w:abstractNum w:abstractNumId="5">
    <w:nsid w:val="5"/>
    <w:multiLevelType w:val="hybridMultilevel"/>
    <w:tmpl w:val="438585029"/>
    <w:lvl w:ilvl="0">
      <w:start w:val="0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</w:abstractNum>
  <w:abstractNum w:abstractNumId="6">
    <w:nsid w:val="6"/>
    <w:multiLevelType w:val="hybridMultilevel"/>
    <w:tmpl w:val="1789749355"/>
    <w:lvl w:ilvl="0">
      <w:start w:val="0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•"/>
      <w:pPr>
        <w:ind w:left="0" w:hanging="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center"/>
      <w:wordWrap w:val="false"/>
      <w:ind w:left="0" w:hanging="0"/>
      <w:rPr/>
    </w:pPr>
  </w:style>
  <w:style w:type="paragraph" w:customStyle="1" w:styleId="Para1">
    <w:name w:val="ParaAttribute1"/>
    <w:pPr>
      <w:jc w:val="left"/>
      <w:wordWrap w:val="false"/>
      <w:ind w:left="0" w:hanging="0"/>
      <w:rPr/>
    </w:pPr>
  </w:style>
  <w:style w:type="paragraph" w:customStyle="1" w:styleId="Para2">
    <w:name w:val="ParaAttribute2"/>
    <w:pPr>
      <w:jc w:val="left"/>
      <w:wordWrap w:val="false"/>
      <w:ind w:left="0" w:hanging="0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center"/>
      <w:wordWrap w:val="false"/>
      <w:ind w:left="0" w:hanging="0"/>
      <w:rPr/>
    </w:pPr>
  </w:style>
  <w:style w:type="paragraph" w:customStyle="1" w:styleId="Para5">
    <w:name w:val="ParaAttribute5"/>
    <w:pPr>
      <w:jc w:val="both"/>
      <w:wordWrap w:val="false"/>
      <w:ind w:left="0" w:hanging="0"/>
      <w:rPr/>
    </w:pPr>
  </w:style>
  <w:style w:type="paragraph" w:customStyle="1" w:styleId="Para6">
    <w:name w:val="ParaAttribute6"/>
    <w:pPr>
      <w:jc w:val="both"/>
      <w:wordWrap w:val="false"/>
      <w:ind w:left="0" w:hanging="0"/>
      <w:rPr/>
    </w:pPr>
  </w:style>
  <w:style w:type="paragraph" w:customStyle="1" w:styleId="Para7">
    <w:name w:val="ParaAttribute7"/>
    <w:pPr>
      <w:jc w:val="both"/>
      <w:wordWrap w:val="false"/>
      <w:ind w:left="0" w:hanging="0"/>
      <w:widowControl w:val="false"/>
      <w:rPr/>
    </w:pPr>
  </w:style>
  <w:style w:type="paragraph" w:customStyle="1" w:styleId="Para8">
    <w:name w:val="ParaAttribute8"/>
    <w:pPr>
      <w:jc w:val="left"/>
      <w:wordWrap w:val="false"/>
      <w:ind w:left="0" w:hanging="0"/>
      <w:widowControl w:val="false"/>
      <w:rPr/>
    </w:pPr>
  </w:style>
  <w:style w:type="paragraph" w:customStyle="1" w:styleId="Para9">
    <w:name w:val="ParaAttribute9"/>
    <w:pPr>
      <w:jc w:val="left"/>
      <w:wordWrap w:val="false"/>
      <w:ind w:left="0" w:hanging="0"/>
      <w:widowControl w:val="false"/>
      <w:rPr/>
    </w:pPr>
  </w:style>
  <w:style w:type="paragraph" w:customStyle="1" w:styleId="Para10">
    <w:name w:val="ParaAttribute10"/>
    <w:pPr>
      <w:jc w:val="left"/>
      <w:wordWrap w:val="false"/>
      <w:ind w:left="0" w:hanging="0"/>
      <w:widowControl w:val="false"/>
      <w:rPr/>
    </w:pPr>
  </w:style>
  <w:style w:type="paragraph" w:customStyle="1" w:styleId="Para11">
    <w:name w:val="ParaAttribute11"/>
    <w:pPr>
      <w:jc w:val="left"/>
      <w:wordWrap w:val="false"/>
      <w:ind w:left="0" w:hanging="0"/>
      <w:widowControl w:val="false"/>
      <w:rPr/>
    </w:pPr>
  </w:style>
  <w:style w:type="paragraph" w:customStyle="1" w:styleId="Para12">
    <w:name w:val="ParaAttribute12"/>
    <w:pPr>
      <w:jc w:val="left"/>
      <w:wordWrap w:val="false"/>
      <w:ind w:left="0" w:hanging="0"/>
      <w:widowControl w:val="false"/>
      <w:rPr/>
    </w:pPr>
  </w:style>
  <w:style w:type="paragraph" w:customStyle="1" w:styleId="Para13">
    <w:name w:val="ParaAttribute13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Arial" w:eastAsia="Arial"/>
      <w:sz w:val="24"/>
    </w:rPr>
  </w:style>
  <w:style w:type="character" w:customStyle="1" w:styleId="Character1">
    <w:name w:val="CharAttribute1"/>
    <w:rPr>
      <w:rFonts w:ascii="Arial" w:eastAsia="Arial"/>
      <w:sz w:val="24"/>
    </w:rPr>
  </w:style>
  <w:style w:type="character" w:customStyle="1" w:styleId="Character2">
    <w:name w:val="CharAttribute2"/>
    <w:rPr>
      <w:rFonts w:ascii="Calibri" w:eastAsia="Calibri"/>
      <w:sz w:val="22"/>
      <w:shd w:val="clear" w:color="auto" w:fill="FFFFFF"/>
    </w:rPr>
  </w:style>
  <w:style w:type="character" w:customStyle="1" w:styleId="Character3">
    <w:name w:val="CharAttribute3"/>
    <w:rPr>
      <w:rFonts w:ascii="Arial" w:eastAsia="Arial"/>
      <w:color w:val="C00000"/>
      <w:sz w:val="24"/>
    </w:rPr>
  </w:style>
  <w:style w:type="character" w:customStyle="1" w:styleId="Character4">
    <w:name w:val="CharAttribute4"/>
    <w:rPr>
      <w:rFonts w:ascii="Arial" w:eastAsia="Arial"/>
      <w:color w:val="CC0000"/>
      <w:sz w:val="24"/>
      <w:shd w:val="clear" w:color="auto" w:fill="FFFFFF"/>
    </w:rPr>
  </w:style>
  <w:style w:type="character" w:customStyle="1" w:styleId="Character5">
    <w:name w:val="CharAttribute5"/>
    <w:rPr>
      <w:rFonts w:ascii="Arial" w:eastAsia="Arial"/>
      <w:sz w:val="24"/>
      <w:shd w:val="clear" w:color="auto" w:fill="FFFFFF"/>
    </w:rPr>
  </w:style>
  <w:style w:type="character" w:customStyle="1" w:styleId="Character6">
    <w:name w:val="CharAttribute6"/>
    <w:rPr>
      <w:rFonts w:ascii="Arial" w:eastAsia="Arial"/>
      <w:color w:val="FF6666"/>
      <w:sz w:val="24"/>
      <w:shd w:val="clear" w:color="auto" w:fill="FFFFFF"/>
    </w:rPr>
  </w:style>
  <w:style w:type="character" w:customStyle="1" w:styleId="Character7">
    <w:name w:val="CharAttribute7"/>
    <w:rPr>
      <w:rFonts w:ascii="Arial" w:eastAsia="Arial"/>
      <w:color w:val="9966CC"/>
      <w:sz w:val="24"/>
      <w:shd w:val="clear" w:color="auto" w:fill="FFFFFF"/>
    </w:rPr>
  </w:style>
  <w:style w:type="character" w:customStyle="1" w:styleId="Character8">
    <w:name w:val="CharAttribute8"/>
    <w:rPr>
      <w:rFonts w:ascii="Arial" w:eastAsia="Arial"/>
      <w:color w:val="FFC000"/>
      <w:sz w:val="24"/>
      <w:shd w:val="clear" w:color="auto" w:fill="FFFFFF"/>
    </w:rPr>
  </w:style>
  <w:style w:type="character" w:customStyle="1" w:styleId="Character9">
    <w:name w:val="CharAttribute9"/>
    <w:rPr>
      <w:rFonts w:ascii="Arial" w:eastAsia="Arial"/>
      <w:sz w:val="24"/>
      <w:shd w:val="clear" w:color="auto" w:fill="FFFF00"/>
    </w:rPr>
  </w:style>
  <w:style w:type="character" w:customStyle="1" w:styleId="Character10">
    <w:name w:val="CharAttribute10"/>
    <w:rPr>
      <w:rFonts w:ascii="Arial" w:eastAsia="Arial"/>
      <w:sz w:val="24"/>
      <w:shd w:val="clear" w:color="auto" w:fill="FFFF00"/>
    </w:rPr>
  </w:style>
  <w:style w:type="character" w:customStyle="1" w:styleId="Character11">
    <w:name w:val="CharAttribute11"/>
    <w:rPr>
      <w:rFonts w:ascii="Arial" w:eastAsia="Arial"/>
      <w:sz w:val="24"/>
      <w:shd w:val="clear" w:color="auto" w:fill="FF3300"/>
    </w:rPr>
  </w:style>
  <w:style w:type="character" w:customStyle="1" w:styleId="Character12">
    <w:name w:val="CharAttribute12"/>
    <w:rPr>
      <w:rFonts w:ascii="Arial" w:eastAsia="Arial"/>
      <w:sz w:val="24"/>
      <w:shd w:val="clear" w:color="auto" w:fill="FF3300"/>
    </w:rPr>
  </w:style>
  <w:style w:type="character" w:customStyle="1" w:styleId="Character13">
    <w:name w:val="CharAttribute13"/>
    <w:rPr>
      <w:rFonts w:ascii="Arial" w:eastAsia="Arial"/>
    </w:rPr>
  </w:style>
  <w:style w:type="character" w:customStyle="1" w:styleId="Character14">
    <w:name w:val="CharAttribute14"/>
    <w:rPr>
      <w:rFonts w:ascii="Arial" w:eastAsia="Arial"/>
      <w:sz w:val="24"/>
    </w:rPr>
  </w:style>
  <w:style w:type="character" w:customStyle="1" w:styleId="Character15">
    <w:name w:val="CharAttribute15"/>
    <w:rPr>
      <w:rFonts w:ascii="Arial" w:eastAsia="Arial"/>
      <w:sz w:val="24"/>
    </w:rPr>
  </w:style>
  <w:style w:type="character" w:customStyle="1" w:styleId="Character16">
    <w:name w:val="CharAttribute16"/>
    <w:rPr>
      <w:rFonts w:ascii="Arial" w:eastAsia="Arial"/>
      <w:sz w:val="24"/>
      <w:shd w:val="clear" w:color="auto" w:fill="00CC33"/>
    </w:rPr>
  </w:style>
  <w:style w:type="character" w:customStyle="1" w:styleId="Character17">
    <w:name w:val="CharAttribute17"/>
    <w:rPr>
      <w:rFonts w:ascii="Calibri" w:eastAsia="Calibri"/>
      <w:sz w:val="22"/>
      <w:shd w:val="clear" w:color="auto" w:fill="FFFFFF"/>
    </w:rPr>
  </w:style>
  <w:style w:type="character" w:customStyle="1" w:styleId="Character18">
    <w:name w:val="CharAttribute18"/>
    <w:rPr>
      <w:rFonts w:ascii="Arial" w:eastAsia="Arial"/>
      <w:sz w:val="24"/>
      <w:shd w:val="clear" w:color="auto" w:fill="CC3300"/>
    </w:rPr>
  </w:style>
  <w:style w:type="character" w:customStyle="1" w:styleId="Character19">
    <w:name w:val="CharAttribute19"/>
    <w:rPr>
      <w:rFonts w:ascii="Arial" w:eastAsia="Arial"/>
      <w:sz w:val="24"/>
    </w:rPr>
  </w:style>
  <w:style w:type="character" w:customStyle="1" w:styleId="Character20">
    <w:name w:val="CharAttribute20"/>
    <w:rPr>
      <w:rFonts w:ascii="Arial" w:eastAsia="Arial"/>
      <w:sz w:val="24"/>
    </w:rPr>
  </w:style>
  <w:style w:type="character" w:customStyle="1" w:styleId="Character21">
    <w:name w:val="CharAttribute21"/>
    <w:rPr>
      <w:rFonts w:ascii="Arial" w:eastAsia="Arial"/>
      <w:sz w:val="24"/>
    </w:rPr>
  </w:style>
  <w:style w:type="character" w:customStyle="1" w:styleId="Character22">
    <w:name w:val="CharAttribute22"/>
    <w:rPr>
      <w:rFonts w:ascii="Arial" w:eastAsia="Arial"/>
      <w:shd w:val="clear" w:color="auto" w:fill="FFFFFF"/>
    </w:rPr>
  </w:style>
  <w:style w:type="character" w:customStyle="1" w:styleId="Character23">
    <w:name w:val="CharAttribute23"/>
    <w:rPr>
      <w:rFonts w:ascii="Arial" w:eastAsia="Arial"/>
      <w:sz w:val="24"/>
    </w:rPr>
  </w:style>
  <w:style w:type="character" w:customStyle="1" w:styleId="Character24">
    <w:name w:val="CharAttribute24"/>
    <w:rPr>
      <w:rFonts w:ascii="Arial" w:eastAsia="Arial"/>
      <w:sz w:val="24"/>
    </w:rPr>
  </w:style>
  <w:style w:type="character" w:customStyle="1" w:styleId="Character25">
    <w:name w:val="CharAttribute25"/>
    <w:rPr>
      <w:rFonts w:ascii="Arial" w:eastAsia="Arial"/>
      <w:sz w:val="24"/>
      <w:shd w:val="clear" w:color="auto" w:fill="FFFFFF"/>
    </w:rPr>
  </w:style>
  <w:style w:type="character" w:customStyle="1" w:styleId="Character26">
    <w:name w:val="CharAttribute26"/>
    <w:rPr>
      <w:rFonts w:ascii="Arial" w:eastAsia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

<file path=docProps/infrawarePen.xml><?xml version="1.0" encoding="utf-8"?>
<InfrawarePenDraw xmlns="http://www.infraware.co.kr/2012/penmode">
  <PenDraw id="1">
    <PenInfo Type="2" Width="25" Blue="0" Green="0" Red="0" Alpha="255"/>
    <points count="1" path="0,0"/>
    <TimeData count="2" TimeData="0,0"/>
    <FixPressure count="2" PressData="0,0"/>
    <CoordSize cx="10" cy="9"/>
  </PenDraw>
  <PenDraw id="2">
    <PenInfo Type="2" Width="25" Blue="0" Green="0" Red="0" Alpha="255"/>
    <points count="1" path="0,0"/>
    <TimeData count="2" TimeData="0,0"/>
    <FixPressure count="2" PressData="0,0"/>
    <CoordSize cx="10" cy="10"/>
  </PenDraw>
</InfrawarePenDraw>
</file>