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PCM DSS — Forecast Validation Report</w:t>
      </w:r>
    </w:p>
    <w:p>
      <w:pPr>
        <w:jc w:val="center"/>
      </w:pPr>
      <w:r>
        <w:rPr>
          <w:i/>
          <w:sz w:val="26"/>
        </w:rPr>
        <w:t>PC Merchandise Decision Support System</w:t>
        <w:br/>
        <w:t>Holt-Winters Forecast Backtest, Data Scope, and Coverage Gaps</w:t>
      </w:r>
    </w:p>
    <w:p>
      <w:pPr>
        <w:jc w:val="center"/>
      </w:pPr>
      <w:r>
        <w:rPr>
          <w:sz w:val="20"/>
        </w:rPr>
        <w:t>Date: 2026-08-02</w:t>
      </w:r>
    </w:p>
    <w:p/>
    <w:p>
      <w:pPr>
        <w:pStyle w:val="Heading1"/>
      </w:pPr>
      <w:r>
        <w:t>1. System Scope</w:t>
      </w:r>
    </w:p>
    <w:p>
      <w:r>
        <w:rPr>
          <w:b w:val="0"/>
          <w:i w:val="0"/>
        </w:rPr>
        <w:t>PCM DSS is a role-gated Next.js dashboard that analyzes Facebook ad and page performance data to support marketing decisions for a PC merchandise business. It is a marketing-analytics tool, not a general business decision-support system: it does not currently model inventory, cash flow, pricing, or supplier terms — the levers that most directly determine a small merchandise reseller's outcomes. Its scope is limited to the Facebook marketing channel: ad spend, reach, engagement, page metrics, and follower/audience data.</w:t>
      </w:r>
    </w:p>
    <w:p>
      <w:pPr>
        <w:pStyle w:val="Heading2"/>
      </w:pPr>
      <w:r>
        <w:t>What the system does</w:t>
      </w:r>
    </w:p>
    <w:p>
      <w:pPr>
        <w:pStyle w:val="ListBullet"/>
      </w:pPr>
      <w:r>
        <w:t>Ingests CSV exports from Facebook (Ads, Posts, Page metrics, Follower history, Demographics).</w:t>
      </w:r>
    </w:p>
    <w:p>
      <w:pPr>
        <w:pStyle w:val="ListBullet"/>
      </w:pPr>
      <w:r>
        <w:t>Computes Spearman rank correlation and Pearson correlation between ad metrics and outcomes (purchases, messaging contacts).</w:t>
      </w:r>
    </w:p>
    <w:p>
      <w:pPr>
        <w:pStyle w:val="ListBullet"/>
      </w:pPr>
      <w:r>
        <w:t>Fits a multiple linear regression (OLS) model predicting purchases from reach, messaging contacts, and ad spend.</w:t>
      </w:r>
    </w:p>
    <w:p>
      <w:pPr>
        <w:pStyle w:val="ListBullet"/>
      </w:pPr>
      <w:r>
        <w:t>Forecasts daily page views 7 days ahead using Holt-Winters triple exponential smoothing (falls back to Holt linear smoothing when fewer than 14 data points are available).</w:t>
      </w:r>
    </w:p>
    <w:p>
      <w:pPr>
        <w:pStyle w:val="ListBullet"/>
      </w:pPr>
      <w:r>
        <w:t>Runs Monte Carlo "what-if" simulations and a budget-allocation recommender on top of the regression model.</w:t>
      </w:r>
    </w:p>
    <w:p>
      <w:pPr>
        <w:pStyle w:val="ListBullet"/>
      </w:pPr>
      <w:r>
        <w:t>Surfaces natural-language insights and a chat interface via the Groq API.</w:t>
      </w:r>
    </w:p>
    <w:p>
      <w:pPr>
        <w:pStyle w:val="Heading2"/>
      </w:pPr>
      <w:r>
        <w:t>What the system does not do</w:t>
      </w:r>
    </w:p>
    <w:p>
      <w:pPr>
        <w:pStyle w:val="ListBullet"/>
      </w:pPr>
      <w:r>
        <w:t>No inventory, stock, or supply-chain modeling.</w:t>
      </w:r>
    </w:p>
    <w:p>
      <w:pPr>
        <w:pStyle w:val="ListBullet"/>
      </w:pPr>
      <w:r>
        <w:t>No cash flow, margin, or pricing analysis.</w:t>
      </w:r>
    </w:p>
    <w:p>
      <w:pPr>
        <w:pStyle w:val="ListBullet"/>
      </w:pPr>
      <w:r>
        <w:t>No sales-channel data beyond what Facebook ads/page metrics imply.</w:t>
      </w:r>
    </w:p>
    <w:p>
      <w:pPr>
        <w:pStyle w:val="ListBullet"/>
      </w:pPr>
      <w:r>
        <w:t>Forecasting is currently applied to one metric in production: daily page views.</w:t>
      </w:r>
    </w:p>
    <w:p>
      <w:r>
        <w:rPr>
          <w:b w:val="0"/>
          <w:i w:val="0"/>
        </w:rPr>
        <w:t>Recommendation: the system should be described and defended as a Facebook marketing-analytics decision-support tool for a PC merchandise business, not a comprehensive business DSS, unless and until it incorporates a non-marketing decision surface (e.g., linking ad-driven traffic to actual sales or inventory outcomes).</w:t>
      </w:r>
    </w:p>
    <w:p>
      <w:pPr>
        <w:pStyle w:val="Heading1"/>
      </w:pPr>
      <w:r>
        <w:t>2. Real Data Currently Available</w:t>
      </w:r>
    </w:p>
    <w:p>
      <w:r>
        <w:rPr>
          <w:b w:val="0"/>
          <w:i w:val="0"/>
        </w:rPr>
        <w:t>On 2026-08-02, all synthetic/demo data was removed from the production database and replaced with real PC Merchandise Facebook exports. User accounts and the Category/Keyword taxonomy table were left untouched. The table below reflects the real-data footprint at the time of this report.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2F5233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1008"/>
            <w:shd w:fill="2F5233"/>
          </w:tcPr>
          <w:p>
            <w:r>
              <w:rPr>
                <w:b/>
                <w:color w:val="FFFFFF"/>
              </w:rPr>
              <w:t>Rows</w:t>
            </w:r>
          </w:p>
        </w:tc>
        <w:tc>
          <w:tcPr>
            <w:tcW w:type="dxa" w:w="2592"/>
            <w:shd w:fill="2F5233"/>
          </w:tcPr>
          <w:p>
            <w:r>
              <w:rPr>
                <w:b/>
                <w:color w:val="FFFFFF"/>
              </w:rPr>
              <w:t>Date Range</w:t>
            </w:r>
          </w:p>
        </w:tc>
        <w:tc>
          <w:tcPr>
            <w:tcW w:type="dxa" w:w="3744"/>
            <w:shd w:fill="2F5233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304"/>
          </w:tcPr>
          <w:p>
            <w:r>
              <w:t>Ad</w:t>
            </w:r>
          </w:p>
        </w:tc>
        <w:tc>
          <w:tcPr>
            <w:tcW w:type="dxa" w:w="1008"/>
          </w:tcPr>
          <w:p>
            <w:r>
              <w:t>229</w:t>
            </w:r>
          </w:p>
        </w:tc>
        <w:tc>
          <w:tcPr>
            <w:tcW w:type="dxa" w:w="2592"/>
          </w:tcPr>
          <w:p>
            <w:r>
              <w:t>2025-09-01 → 2026-01-01</w:t>
            </w:r>
          </w:p>
        </w:tc>
        <w:tc>
          <w:tcPr>
            <w:tcW w:type="dxa" w:w="3744"/>
          </w:tcPr>
          <w:p>
            <w:r>
              <w:t>Facebook ad-level records</w:t>
            </w:r>
          </w:p>
        </w:tc>
      </w:tr>
      <w:tr>
        <w:tc>
          <w:tcPr>
            <w:tcW w:type="dxa" w:w="2304"/>
          </w:tcPr>
          <w:p>
            <w:r>
              <w:t>FacebookPost</w:t>
            </w:r>
          </w:p>
        </w:tc>
        <w:tc>
          <w:tcPr>
            <w:tcW w:type="dxa" w:w="1008"/>
          </w:tcPr>
          <w:p>
            <w:r>
              <w:t>81</w:t>
            </w:r>
          </w:p>
        </w:tc>
        <w:tc>
          <w:tcPr>
            <w:tcW w:type="dxa" w:w="2592"/>
          </w:tcPr>
          <w:p>
            <w:r>
              <w:t>2025-09-01 → 2025-09-30</w:t>
            </w:r>
          </w:p>
        </w:tc>
        <w:tc>
          <w:tcPr>
            <w:tcW w:type="dxa" w:w="3744"/>
          </w:tcPr>
          <w:p>
            <w:r>
              <w:t>Organic post performance</w:t>
            </w:r>
          </w:p>
        </w:tc>
      </w:tr>
      <w:tr>
        <w:tc>
          <w:tcPr>
            <w:tcW w:type="dxa" w:w="2304"/>
          </w:tcPr>
          <w:p>
            <w:r>
              <w:t>PageMetricDaily</w:t>
            </w:r>
          </w:p>
        </w:tc>
        <w:tc>
          <w:tcPr>
            <w:tcW w:type="dxa" w:w="1008"/>
          </w:tcPr>
          <w:p>
            <w:r>
              <w:t>28</w:t>
            </w:r>
          </w:p>
        </w:tc>
        <w:tc>
          <w:tcPr>
            <w:tcW w:type="dxa" w:w="2592"/>
          </w:tcPr>
          <w:p>
            <w:r>
              <w:t>2025-09-20 → 2025-10-17</w:t>
            </w:r>
          </w:p>
        </w:tc>
        <w:tc>
          <w:tcPr>
            <w:tcW w:type="dxa" w:w="3744"/>
          </w:tcPr>
          <w:p>
            <w:r>
              <w:t>Forecast target table (views, follows, interactions, link clicks, visits)</w:t>
            </w:r>
          </w:p>
        </w:tc>
      </w:tr>
      <w:tr>
        <w:tc>
          <w:tcPr>
            <w:tcW w:type="dxa" w:w="2304"/>
          </w:tcPr>
          <w:p>
            <w:r>
              <w:t>FollowerHistory</w:t>
            </w:r>
          </w:p>
        </w:tc>
        <w:tc>
          <w:tcPr>
            <w:tcW w:type="dxa" w:w="1008"/>
          </w:tcPr>
          <w:p>
            <w:r>
              <w:t>60</w:t>
            </w:r>
          </w:p>
        </w:tc>
        <w:tc>
          <w:tcPr>
            <w:tcW w:type="dxa" w:w="2592"/>
          </w:tcPr>
          <w:p>
            <w:r>
              <w:t>2025-08-18 → 2025-10-16</w:t>
            </w:r>
          </w:p>
        </w:tc>
        <w:tc>
          <w:tcPr>
            <w:tcW w:type="dxa" w:w="3744"/>
          </w:tcPr>
          <w:p>
            <w:r>
              <w:t>Daily follower counts</w:t>
            </w:r>
          </w:p>
        </w:tc>
      </w:tr>
      <w:tr>
        <w:tc>
          <w:tcPr>
            <w:tcW w:type="dxa" w:w="2304"/>
          </w:tcPr>
          <w:p>
            <w:r>
              <w:t>PageViewers</w:t>
            </w:r>
          </w:p>
        </w:tc>
        <w:tc>
          <w:tcPr>
            <w:tcW w:type="dxa" w:w="1008"/>
          </w:tcPr>
          <w:p>
            <w:r>
              <w:t>60</w:t>
            </w:r>
          </w:p>
        </w:tc>
        <w:tc>
          <w:tcPr>
            <w:tcW w:type="dxa" w:w="2592"/>
          </w:tcPr>
          <w:p>
            <w:r>
              <w:t>2025-08-19 → 2025-10-17</w:t>
            </w:r>
          </w:p>
        </w:tc>
        <w:tc>
          <w:tcPr>
            <w:tcW w:type="dxa" w:w="3744"/>
          </w:tcPr>
          <w:p>
            <w:r>
              <w:t>New vs. returning viewers</w:t>
            </w:r>
          </w:p>
        </w:tc>
      </w:tr>
      <w:tr>
        <w:tc>
          <w:tcPr>
            <w:tcW w:type="dxa" w:w="2304"/>
          </w:tcPr>
          <w:p>
            <w:r>
              <w:t>RegressionModel</w:t>
            </w:r>
          </w:p>
        </w:tc>
        <w:tc>
          <w:tcPr>
            <w:tcW w:type="dxa" w:w="1008"/>
          </w:tcPr>
          <w:p>
            <w:r>
              <w:t>retrained</w:t>
            </w:r>
          </w:p>
        </w:tc>
        <w:tc>
          <w:tcPr>
            <w:tcW w:type="dxa" w:w="2592"/>
          </w:tcPr>
          <w:p>
            <w:r>
              <w:t>trained_at 2026-08-02</w:t>
            </w:r>
          </w:p>
        </w:tc>
        <w:tc>
          <w:tcPr>
            <w:tcW w:type="dxa" w:w="3744"/>
          </w:tcPr>
          <w:p>
            <w:r>
              <w:t>n=42, R² = 0.50 on real ad data</w:t>
            </w:r>
          </w:p>
        </w:tc>
      </w:tr>
    </w:tbl>
    <w:p/>
    <w:p>
      <w:r>
        <w:rPr>
          <w:b w:val="0"/>
          <w:i w:val="0"/>
        </w:rPr>
        <w:t>Observation: the table the production forecast actually runs on — PageMetricDaily — has the thinnest real-data coverage of all tables (28 days, roughly one month). This is the binding constraint on how much confidence can currently be placed in the forecast result in Section 3.</w:t>
      </w:r>
    </w:p>
    <w:p>
      <w:pPr>
        <w:pStyle w:val="Heading1"/>
      </w:pPr>
      <w:r>
        <w:t>3. Holt-Winters Forecast Backtest</w:t>
      </w:r>
    </w:p>
    <w:p>
      <w:r>
        <w:rPr>
          <w:b w:val="0"/>
          <w:i w:val="0"/>
        </w:rPr>
        <w:t>Production forecasting uses Holt-Winters triple exponential smoothing (α=0.3, β=0.1, γ=0.3, period=7) on the PageMetricDaily.views column, forecasting 7 days ahead. To validate this against real outcomes rather than merely confirming the code runs, the most recent 7 real days were held out as a test set, the model was trained only on the preceding 21 real days, and the forecast was compared against what actually happened — alongside two naive baselines for context.</w:t>
      </w:r>
    </w:p>
    <w:p>
      <w:pPr>
        <w:pStyle w:val="Heading2"/>
      </w:pPr>
      <w:r>
        <w:t>Setup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2F5233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5040"/>
            <w:shd w:fill="2F5233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t>Metric forecasted</w:t>
            </w:r>
          </w:p>
        </w:tc>
        <w:tc>
          <w:tcPr>
            <w:tcW w:type="dxa" w:w="5040"/>
          </w:tcPr>
          <w:p>
            <w:r>
              <w:t>PageMetricDaily.views</w:t>
            </w:r>
          </w:p>
        </w:tc>
      </w:tr>
      <w:tr>
        <w:tc>
          <w:tcPr>
            <w:tcW w:type="dxa" w:w="3600"/>
          </w:tcPr>
          <w:p>
            <w:r>
              <w:t>Training window</w:t>
            </w:r>
          </w:p>
        </w:tc>
        <w:tc>
          <w:tcPr>
            <w:tcW w:type="dxa" w:w="5040"/>
          </w:tcPr>
          <w:p>
            <w:r>
              <w:t>2025-09-20 → 2025-10-10 (21 days)</w:t>
            </w:r>
          </w:p>
        </w:tc>
      </w:tr>
      <w:tr>
        <w:tc>
          <w:tcPr>
            <w:tcW w:type="dxa" w:w="3600"/>
          </w:tcPr>
          <w:p>
            <w:r>
              <w:t>Held-out test window</w:t>
            </w:r>
          </w:p>
        </w:tc>
        <w:tc>
          <w:tcPr>
            <w:tcW w:type="dxa" w:w="5040"/>
          </w:tcPr>
          <w:p>
            <w:r>
              <w:t>2025-10-11 → 2025-10-17 (7 days)</w:t>
            </w:r>
          </w:p>
        </w:tc>
      </w:tr>
      <w:tr>
        <w:tc>
          <w:tcPr>
            <w:tcW w:type="dxa" w:w="3600"/>
          </w:tcPr>
          <w:p>
            <w:r>
              <w:t>Method selected</w:t>
            </w:r>
          </w:p>
        </w:tc>
        <w:tc>
          <w:tcPr>
            <w:tcW w:type="dxa" w:w="5040"/>
          </w:tcPr>
          <w:p>
            <w:r>
              <w:t>holt-winters (training set ≥ 2×period)</w:t>
            </w:r>
          </w:p>
        </w:tc>
      </w:tr>
      <w:tr>
        <w:tc>
          <w:tcPr>
            <w:tcW w:type="dxa" w:w="3600"/>
          </w:tcPr>
          <w:p>
            <w:r>
              <w:t>Baselines compared</w:t>
            </w:r>
          </w:p>
        </w:tc>
        <w:tc>
          <w:tcPr>
            <w:tcW w:type="dxa" w:w="5040"/>
          </w:tcPr>
          <w:p>
            <w:r>
              <w:t>Naive (flat-repeat last value), Seasonal-naive (same weekday, 7 days prior)</w:t>
            </w:r>
          </w:p>
        </w:tc>
      </w:tr>
    </w:tbl>
    <w:p/>
    <w:p>
      <w:pPr>
        <w:pStyle w:val="Heading2"/>
      </w:pPr>
      <w:r>
        <w:t>Day-by-day results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233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584"/>
            <w:shd w:fill="2F5233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872"/>
            <w:shd w:fill="2F5233"/>
          </w:tcPr>
          <w:p>
            <w:r>
              <w:rPr>
                <w:b/>
                <w:color w:val="FFFFFF"/>
              </w:rPr>
              <w:t>Holt-Winters</w:t>
            </w:r>
          </w:p>
        </w:tc>
        <w:tc>
          <w:tcPr>
            <w:tcW w:type="dxa" w:w="1584"/>
            <w:shd w:fill="2F5233"/>
          </w:tcPr>
          <w:p>
            <w:r>
              <w:rPr>
                <w:b/>
                <w:color w:val="FFFFFF"/>
              </w:rPr>
              <w:t>Naive</w:t>
            </w:r>
          </w:p>
        </w:tc>
        <w:tc>
          <w:tcPr>
            <w:tcW w:type="dxa" w:w="2016"/>
            <w:shd w:fill="2F5233"/>
          </w:tcPr>
          <w:p>
            <w:r>
              <w:rPr>
                <w:b/>
                <w:color w:val="FFFFFF"/>
              </w:rPr>
              <w:t>Seasonal-Naive</w:t>
            </w:r>
          </w:p>
        </w:tc>
      </w:tr>
      <w:tr>
        <w:tc>
          <w:tcPr>
            <w:tcW w:type="dxa" w:w="1728"/>
          </w:tcPr>
          <w:p>
            <w:r>
              <w:t>2025-10-11</w:t>
            </w:r>
          </w:p>
        </w:tc>
        <w:tc>
          <w:tcPr>
            <w:tcW w:type="dxa" w:w="1584"/>
          </w:tcPr>
          <w:p>
            <w:r>
              <w:t>23,210</w:t>
            </w:r>
          </w:p>
        </w:tc>
        <w:tc>
          <w:tcPr>
            <w:tcW w:type="dxa" w:w="1872"/>
          </w:tcPr>
          <w:p>
            <w:r>
              <w:t>26,503</w:t>
            </w:r>
          </w:p>
        </w:tc>
        <w:tc>
          <w:tcPr>
            <w:tcW w:type="dxa" w:w="1584"/>
          </w:tcPr>
          <w:p>
            <w:r>
              <w:t>24,461</w:t>
            </w:r>
          </w:p>
        </w:tc>
        <w:tc>
          <w:tcPr>
            <w:tcW w:type="dxa" w:w="2016"/>
          </w:tcPr>
          <w:p>
            <w:r>
              <w:t>30,502</w:t>
            </w:r>
          </w:p>
        </w:tc>
      </w:tr>
      <w:tr>
        <w:tc>
          <w:tcPr>
            <w:tcW w:type="dxa" w:w="1728"/>
          </w:tcPr>
          <w:p>
            <w:r>
              <w:t>2025-10-12</w:t>
            </w:r>
          </w:p>
        </w:tc>
        <w:tc>
          <w:tcPr>
            <w:tcW w:type="dxa" w:w="1584"/>
          </w:tcPr>
          <w:p>
            <w:r>
              <w:t>25,757</w:t>
            </w:r>
          </w:p>
        </w:tc>
        <w:tc>
          <w:tcPr>
            <w:tcW w:type="dxa" w:w="1872"/>
          </w:tcPr>
          <w:p>
            <w:r>
              <w:t>27,668</w:t>
            </w:r>
          </w:p>
        </w:tc>
        <w:tc>
          <w:tcPr>
            <w:tcW w:type="dxa" w:w="1584"/>
          </w:tcPr>
          <w:p>
            <w:r>
              <w:t>24,461</w:t>
            </w:r>
          </w:p>
        </w:tc>
        <w:tc>
          <w:tcPr>
            <w:tcW w:type="dxa" w:w="2016"/>
          </w:tcPr>
          <w:p>
            <w:r>
              <w:t>27,306</w:t>
            </w:r>
          </w:p>
        </w:tc>
      </w:tr>
      <w:tr>
        <w:tc>
          <w:tcPr>
            <w:tcW w:type="dxa" w:w="1728"/>
          </w:tcPr>
          <w:p>
            <w:r>
              <w:t>2025-10-13</w:t>
            </w:r>
          </w:p>
        </w:tc>
        <w:tc>
          <w:tcPr>
            <w:tcW w:type="dxa" w:w="1584"/>
          </w:tcPr>
          <w:p>
            <w:r>
              <w:t>25,848</w:t>
            </w:r>
          </w:p>
        </w:tc>
        <w:tc>
          <w:tcPr>
            <w:tcW w:type="dxa" w:w="1872"/>
          </w:tcPr>
          <w:p>
            <w:r>
              <w:t>25,718</w:t>
            </w:r>
          </w:p>
        </w:tc>
        <w:tc>
          <w:tcPr>
            <w:tcW w:type="dxa" w:w="1584"/>
          </w:tcPr>
          <w:p>
            <w:r>
              <w:t>24,461</w:t>
            </w:r>
          </w:p>
        </w:tc>
        <w:tc>
          <w:tcPr>
            <w:tcW w:type="dxa" w:w="2016"/>
          </w:tcPr>
          <w:p>
            <w:r>
              <w:t>31,732</w:t>
            </w:r>
          </w:p>
        </w:tc>
      </w:tr>
      <w:tr>
        <w:tc>
          <w:tcPr>
            <w:tcW w:type="dxa" w:w="1728"/>
          </w:tcPr>
          <w:p>
            <w:r>
              <w:t>2025-10-14</w:t>
            </w:r>
          </w:p>
        </w:tc>
        <w:tc>
          <w:tcPr>
            <w:tcW w:type="dxa" w:w="1584"/>
          </w:tcPr>
          <w:p>
            <w:r>
              <w:t>19,652</w:t>
            </w:r>
          </w:p>
        </w:tc>
        <w:tc>
          <w:tcPr>
            <w:tcW w:type="dxa" w:w="1872"/>
          </w:tcPr>
          <w:p>
            <w:r>
              <w:t>22,703</w:t>
            </w:r>
          </w:p>
        </w:tc>
        <w:tc>
          <w:tcPr>
            <w:tcW w:type="dxa" w:w="1584"/>
          </w:tcPr>
          <w:p>
            <w:r>
              <w:t>24,461</w:t>
            </w:r>
          </w:p>
        </w:tc>
        <w:tc>
          <w:tcPr>
            <w:tcW w:type="dxa" w:w="2016"/>
          </w:tcPr>
          <w:p>
            <w:r>
              <w:t>19,375</w:t>
            </w:r>
          </w:p>
        </w:tc>
      </w:tr>
      <w:tr>
        <w:tc>
          <w:tcPr>
            <w:tcW w:type="dxa" w:w="1728"/>
          </w:tcPr>
          <w:p>
            <w:r>
              <w:t>2025-10-15</w:t>
            </w:r>
          </w:p>
        </w:tc>
        <w:tc>
          <w:tcPr>
            <w:tcW w:type="dxa" w:w="1584"/>
          </w:tcPr>
          <w:p>
            <w:r>
              <w:t>20,421</w:t>
            </w:r>
          </w:p>
        </w:tc>
        <w:tc>
          <w:tcPr>
            <w:tcW w:type="dxa" w:w="1872"/>
          </w:tcPr>
          <w:p>
            <w:r>
              <w:t>22,733</w:t>
            </w:r>
          </w:p>
        </w:tc>
        <w:tc>
          <w:tcPr>
            <w:tcW w:type="dxa" w:w="1584"/>
          </w:tcPr>
          <w:p>
            <w:r>
              <w:t>24,461</w:t>
            </w:r>
          </w:p>
        </w:tc>
        <w:tc>
          <w:tcPr>
            <w:tcW w:type="dxa" w:w="2016"/>
          </w:tcPr>
          <w:p>
            <w:r>
              <w:t>29,767</w:t>
            </w:r>
          </w:p>
        </w:tc>
      </w:tr>
      <w:tr>
        <w:tc>
          <w:tcPr>
            <w:tcW w:type="dxa" w:w="1728"/>
          </w:tcPr>
          <w:p>
            <w:r>
              <w:t>2025-10-16</w:t>
            </w:r>
          </w:p>
        </w:tc>
        <w:tc>
          <w:tcPr>
            <w:tcW w:type="dxa" w:w="1584"/>
          </w:tcPr>
          <w:p>
            <w:r>
              <w:t>22,708</w:t>
            </w:r>
          </w:p>
        </w:tc>
        <w:tc>
          <w:tcPr>
            <w:tcW w:type="dxa" w:w="1872"/>
          </w:tcPr>
          <w:p>
            <w:r>
              <w:t>22,930</w:t>
            </w:r>
          </w:p>
        </w:tc>
        <w:tc>
          <w:tcPr>
            <w:tcW w:type="dxa" w:w="1584"/>
          </w:tcPr>
          <w:p>
            <w:r>
              <w:t>24,461</w:t>
            </w:r>
          </w:p>
        </w:tc>
        <w:tc>
          <w:tcPr>
            <w:tcW w:type="dxa" w:w="2016"/>
          </w:tcPr>
          <w:p>
            <w:r>
              <w:t>21,174</w:t>
            </w:r>
          </w:p>
        </w:tc>
      </w:tr>
      <w:tr>
        <w:tc>
          <w:tcPr>
            <w:tcW w:type="dxa" w:w="1728"/>
          </w:tcPr>
          <w:p>
            <w:r>
              <w:t>2025-10-17</w:t>
            </w:r>
          </w:p>
        </w:tc>
        <w:tc>
          <w:tcPr>
            <w:tcW w:type="dxa" w:w="1584"/>
          </w:tcPr>
          <w:p>
            <w:r>
              <w:t>20,921</w:t>
            </w:r>
          </w:p>
        </w:tc>
        <w:tc>
          <w:tcPr>
            <w:tcW w:type="dxa" w:w="1872"/>
          </w:tcPr>
          <w:p>
            <w:r>
              <w:t>23,447</w:t>
            </w:r>
          </w:p>
        </w:tc>
        <w:tc>
          <w:tcPr>
            <w:tcW w:type="dxa" w:w="1584"/>
          </w:tcPr>
          <w:p>
            <w:r>
              <w:t>24,461</w:t>
            </w:r>
          </w:p>
        </w:tc>
        <w:tc>
          <w:tcPr>
            <w:tcW w:type="dxa" w:w="2016"/>
          </w:tcPr>
          <w:p>
            <w:r>
              <w:t>24,461</w:t>
            </w:r>
          </w:p>
        </w:tc>
      </w:tr>
    </w:tbl>
    <w:p/>
    <w:p>
      <w:pPr>
        <w:pStyle w:val="Heading2"/>
      </w:pPr>
      <w:r>
        <w:t>Summary metrics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2F5233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2F5233"/>
          </w:tcPr>
          <w:p>
            <w:r>
              <w:rPr>
                <w:b/>
                <w:color w:val="FFFFFF"/>
              </w:rPr>
              <w:t>MAE</w:t>
            </w:r>
          </w:p>
        </w:tc>
        <w:tc>
          <w:tcPr>
            <w:tcW w:type="dxa" w:w="2160"/>
            <w:shd w:fill="2F5233"/>
          </w:tcPr>
          <w:p>
            <w:r>
              <w:rPr>
                <w:b/>
                <w:color w:val="FFFFFF"/>
              </w:rPr>
              <w:t>RMSE</w:t>
            </w:r>
          </w:p>
        </w:tc>
        <w:tc>
          <w:tcPr>
            <w:tcW w:type="dxa" w:w="2160"/>
            <w:shd w:fill="2F5233"/>
          </w:tcPr>
          <w:p>
            <w:r>
              <w:rPr>
                <w:b/>
                <w:color w:val="FFFFFF"/>
              </w:rPr>
              <w:t>MAPE</w:t>
            </w:r>
          </w:p>
        </w:tc>
      </w:tr>
      <w:tr>
        <w:tc>
          <w:tcPr>
            <w:tcW w:type="dxa" w:w="2880"/>
          </w:tcPr>
          <w:p>
            <w:r>
              <w:t>Holt-Winters</w:t>
            </w:r>
          </w:p>
        </w:tc>
        <w:tc>
          <w:tcPr>
            <w:tcW w:type="dxa" w:w="2160"/>
          </w:tcPr>
          <w:p>
            <w:r>
              <w:t>1,920.71</w:t>
            </w:r>
          </w:p>
        </w:tc>
        <w:tc>
          <w:tcPr>
            <w:tcW w:type="dxa" w:w="2160"/>
          </w:tcPr>
          <w:p>
            <w:r>
              <w:t>2,255.04</w:t>
            </w:r>
          </w:p>
        </w:tc>
        <w:tc>
          <w:tcPr>
            <w:tcW w:type="dxa" w:w="2160"/>
          </w:tcPr>
          <w:p>
            <w:r>
              <w:t>8.9%</w:t>
            </w:r>
          </w:p>
        </w:tc>
      </w:tr>
      <w:tr>
        <w:tc>
          <w:tcPr>
            <w:tcW w:type="dxa" w:w="2880"/>
          </w:tcPr>
          <w:p>
            <w:r>
              <w:t>Naive (flat)</w:t>
            </w:r>
          </w:p>
        </w:tc>
        <w:tc>
          <w:tcPr>
            <w:tcW w:type="dxa" w:w="2160"/>
          </w:tcPr>
          <w:p>
            <w:r>
              <w:t>2,582.29</w:t>
            </w:r>
          </w:p>
        </w:tc>
        <w:tc>
          <w:tcPr>
            <w:tcW w:type="dxa" w:w="2160"/>
          </w:tcPr>
          <w:p>
            <w:r>
              <w:t>2,933.09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</w:tr>
      <w:tr>
        <w:tc>
          <w:tcPr>
            <w:tcW w:type="dxa" w:w="2880"/>
          </w:tcPr>
          <w:p>
            <w:r>
              <w:t>Seasonal-naive</w:t>
            </w:r>
          </w:p>
        </w:tc>
        <w:tc>
          <w:tcPr>
            <w:tcW w:type="dxa" w:w="2160"/>
          </w:tcPr>
          <w:p>
            <w:r>
              <w:t>4,203.14</w:t>
            </w:r>
          </w:p>
        </w:tc>
        <w:tc>
          <w:tcPr>
            <w:tcW w:type="dxa" w:w="2160"/>
          </w:tcPr>
          <w:p>
            <w:r>
              <w:t>5,244.09</w:t>
            </w:r>
          </w:p>
        </w:tc>
        <w:tc>
          <w:tcPr>
            <w:tcW w:type="dxa" w:w="2160"/>
          </w:tcPr>
          <w:p>
            <w:r>
              <w:t>18.7%</w:t>
            </w:r>
          </w:p>
        </w:tc>
      </w:tr>
    </w:tbl>
    <w:p/>
    <w:p>
      <w:pPr>
        <w:pStyle w:val="Heading2"/>
      </w:pPr>
      <w:r>
        <w:t>What MAE, RMSE, and MAPE mean</w:t>
      </w:r>
    </w:p>
    <w:p>
      <w:pPr>
        <w:pStyle w:val="ListBullet"/>
      </w:pPr>
      <w:r>
        <w:t>MAE (Mean Absolute Error) — the average size of the forecast miss, in raw units (page views/day).</w:t>
      </w:r>
    </w:p>
    <w:p>
      <w:pPr>
        <w:pStyle w:val="ListBullet"/>
      </w:pPr>
      <w:r>
        <w:t>RMSE (Root Mean Squared Error) — same idea, but squares each error before averaging, so it penalizes large misses more heavily than small ones. RMSE &gt; MAE indicates at least one day had an unusually large error.</w:t>
      </w:r>
    </w:p>
    <w:p>
      <w:pPr>
        <w:pStyle w:val="ListBullet"/>
      </w:pPr>
      <w:r>
        <w:t>MAPE (Mean Absolute Percentage Error) — the error as a percentage of the actual value, making it comparable across metrics of different scale. Lower is better for all three.</w:t>
      </w:r>
    </w:p>
    <w:p>
      <w:pPr>
        <w:pStyle w:val="Heading2"/>
      </w:pPr>
      <w:r>
        <w:t>Verdict</w:t>
      </w:r>
    </w:p>
    <w:p>
      <w:r>
        <w:rPr>
          <w:b w:val="0"/>
          <w:i w:val="0"/>
        </w:rPr>
        <w:t>Holt-Winters outperformed both naive baselines on every metric (MAE, RMSE, MAPE) on this holdout, achieving an 8.9% MAPE versus 12.1% (flat-naive) and 18.7% (seasonal-naive). This is genuine evidence the model captures real structure in PC Merchandise's page-view data rather than simply repeating recent values.</w:t>
      </w:r>
    </w:p>
    <w:p>
      <w:pPr>
        <w:pStyle w:val="Heading1"/>
      </w:pPr>
      <w:r>
        <w:t>4. Data Gaps and Limitations</w:t>
      </w:r>
    </w:p>
    <w:p>
      <w:pPr>
        <w:pStyle w:val="Heading2"/>
      </w:pPr>
      <w:r>
        <w:t>4.1 Backtest sample size</w:t>
      </w:r>
    </w:p>
    <w:p>
      <w:r>
        <w:rPr>
          <w:b w:val="0"/>
          <w:i w:val="0"/>
        </w:rPr>
        <w:t>This result comes from a single 7-day holdout trained on only 21 real days. That is enough to demonstrate the approach is directionally sound and beats naive guessing, but it is one data point, not a robust validation. A single favorable week could be coincidental (e.g., an unusually stable period, no promotional spikes, no external shocks).</w:t>
      </w:r>
    </w:p>
    <w:p>
      <w:pPr>
        <w:pStyle w:val="ListBullet"/>
      </w:pPr>
      <w:r>
        <w:t>Action: re-run the backtest (scripts/backtest-forecast.ts) as more real PageMetricDaily days accumulate.</w:t>
      </w:r>
    </w:p>
    <w:p>
      <w:pPr>
        <w:pStyle w:val="ListBullet"/>
      </w:pPr>
      <w:r>
        <w:t>Action: once 2+ months of real daily data exist, run a rolling-origin backtest — multiple holdout windows rather than one — to see whether the ~9% MAPE holds consistently or was a favorable outlier.</w:t>
      </w:r>
    </w:p>
    <w:p>
      <w:pPr>
        <w:pStyle w:val="Heading2"/>
      </w:pPr>
      <w:r>
        <w:t>4.2 Thin coverage on the forecast's own input table</w:t>
      </w:r>
    </w:p>
    <w:p>
      <w:r>
        <w:rPr>
          <w:b w:val="0"/>
          <w:i w:val="0"/>
        </w:rPr>
        <w:t>PageMetricDaily — the only table the production forecast reads from — has just 28 real days of history (2025-09-20 to 2025-10-17), the shortest span of any real-data table in the system. By contrast, Ad records span exposure) from 2025-09-01 to 2026-01-01. This means the forecast cannot yet detect monthly or seasonal patterns (e.g., holiday spikes, semester start for a PC merchandise business) — only short-term (roughly weekly) trend and cyclicality.</w:t>
      </w:r>
    </w:p>
    <w:p>
      <w:pPr>
        <w:pStyle w:val="Heading2"/>
      </w:pPr>
      <w:r>
        <w:t>4.3 No real-data validation yet for correlation or regression outputs</w:t>
      </w:r>
    </w:p>
    <w:p>
      <w:r>
        <w:rPr>
          <w:b w:val="0"/>
          <w:i w:val="0"/>
        </w:rPr>
        <w:t>The regression model has been retrained on real ad data (n=42, R² = 0.50), but no backtest equivalent exists yet for the regression's purchase predictions or the Spearman/Pearson correlation outputs — i.e., no held-out comparison of predicted vs. actual purchases. The Section 3 methodology (train/test split + baseline comparison) should be replicated for the regression model once enough real ad records with purchase outcomes exist.</w:t>
      </w:r>
    </w:p>
    <w:p>
      <w:pPr>
        <w:pStyle w:val="Heading2"/>
      </w:pPr>
      <w:r>
        <w:t>4.4 Single-channel data</w:t>
      </w:r>
    </w:p>
    <w:p>
      <w:r>
        <w:rPr>
          <w:b w:val="0"/>
          <w:i w:val="0"/>
        </w:rPr>
        <w:t>All real data currently in the system originates from Facebook. There is no real sales, inventory, or point-of-sale data connected, so no claim can be made yet about how ad/page performance relates to actual revenue or stock movement — only to Facebook-native outcomes (purchases as reported by Facebook's ad platform, messaging contacts, page views).</w:t>
      </w:r>
    </w:p>
    <w:p>
      <w:pPr>
        <w:pStyle w:val="Heading2"/>
      </w:pPr>
      <w:r>
        <w:t>4.5 Untested statistical modules</w:t>
      </w:r>
    </w:p>
    <w:p>
      <w:r>
        <w:rPr>
          <w:b w:val="0"/>
          <w:i w:val="0"/>
        </w:rPr>
        <w:t>computeLaggedCorrelations, runSimulation (Monte Carlo), and computeBudgetAllocation all call the database directly and currently have no automated tests, unlike the pure functions in spearman.ts, regression.ts, forecast.ts, and health-score.ts (23 tests added 2026-08-02). Their outputs have not been independently verified against known-answer cases.</w:t>
      </w:r>
    </w:p>
    <w:p>
      <w:pPr>
        <w:pStyle w:val="Heading1"/>
      </w:pPr>
      <w:r>
        <w:t>5. Summary</w:t>
      </w:r>
    </w:p>
    <w:p>
      <w:r>
        <w:rPr>
          <w:b w:val="0"/>
          <w:i w:val="0"/>
        </w:rPr>
        <w:t>The system's real-data forecast result is genuinely positive: Holt-Winters beats naive baselines by a meaningful margin on real PC Merchandise page-view data. This directly answers the capstone panel's core objection — that the system had never been validated on anything but synthetic data. The result should be presented honestly alongside its limitations: it is a first validated result on a thin, single-channel dataset, not a proven, stable accuracy figure. The path to strengthening it is straightforward — accumulate more real days, re-run and expand the backtest, and extend the same validation discipline to the regression and correlation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