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val="0"/>
          <w:i w:val="0"/>
          <w:sz w:val="32"/>
        </w:rPr>
        <w:t>Universidad Tecnológica de Bolívar</w:t>
      </w:r>
    </w:p>
    <w:p>
      <w:pPr>
        <w:jc w:val="center"/>
      </w:pPr>
      <w:r>
        <w:rPr>
          <w:b w:val="0"/>
          <w:i w:val="0"/>
          <w:sz w:val="22"/>
        </w:rPr>
        <w:t>Escuela de Transformación Digital · Ingeniería de Sistemas y Computación</w:t>
      </w:r>
    </w:p>
    <w:p/>
    <w:p>
      <w:pPr>
        <w:jc w:val="center"/>
      </w:pPr>
      <w:r>
        <w:rPr>
          <w:b/>
          <w:i w:val="0"/>
          <w:sz w:val="30"/>
        </w:rPr>
        <w:t>Diseño ajustado e implementación de un agente inteligente</w:t>
      </w:r>
    </w:p>
    <w:p>
      <w:pPr>
        <w:jc w:val="center"/>
      </w:pPr>
      <w:r>
        <w:rPr>
          <w:b w:val="0"/>
          <w:i w:val="0"/>
          <w:sz w:val="23"/>
        </w:rPr>
        <w:t>Tarea 3 — Segundo Parcial [Agentes Inteligentes]</w:t>
      </w:r>
    </w:p>
    <w:p/>
    <w:p>
      <w:pPr>
        <w:jc w:val="center"/>
      </w:pPr>
      <w:r>
        <w:rPr>
          <w:b/>
          <w:i w:val="0"/>
          <w:sz w:val="26"/>
        </w:rPr>
        <w:t>STREAMRETAIN-AGENT — AGENTE DE PREDICCIÓN DE CANCELACIÓN EN STREAMING</w:t>
      </w:r>
    </w:p>
    <w:p/>
    <w:p/>
    <w:p/>
    <w:p>
      <w:pPr>
        <w:spacing w:after="40"/>
        <w:jc w:val="center"/>
      </w:pPr>
      <w:r>
        <w:rPr>
          <w:b w:val="0"/>
          <w:i w:val="0"/>
          <w:sz w:val="22"/>
        </w:rPr>
        <w:t>Presentado por:</w:t>
      </w:r>
    </w:p>
    <w:p>
      <w:pPr>
        <w:spacing w:after="40"/>
        <w:jc w:val="center"/>
      </w:pPr>
      <w:r>
        <w:rPr>
          <w:b w:val="0"/>
          <w:i w:val="0"/>
          <w:sz w:val="23"/>
        </w:rPr>
        <w:t>Christian David Menco Galván — T00058749</w:t>
      </w:r>
    </w:p>
    <w:p>
      <w:pPr>
        <w:jc w:val="center"/>
      </w:pPr>
      <w:r>
        <w:rPr>
          <w:b w:val="0"/>
          <w:i w:val="0"/>
          <w:sz w:val="23"/>
        </w:rPr>
        <w:t>Levis Adrian Ortiz Cano — T00083674</w:t>
      </w:r>
    </w:p>
    <w:p/>
    <w:p>
      <w:pPr>
        <w:spacing w:after="40"/>
        <w:jc w:val="center"/>
      </w:pPr>
      <w:r>
        <w:rPr>
          <w:b w:val="0"/>
          <w:i w:val="0"/>
          <w:sz w:val="22"/>
        </w:rPr>
        <w:t>Curso: Inteligencia Artificial (ISCO-A06A-I-1233-202620)</w:t>
      </w:r>
    </w:p>
    <w:p>
      <w:pPr>
        <w:jc w:val="center"/>
      </w:pPr>
      <w:r>
        <w:rPr>
          <w:b w:val="0"/>
          <w:i w:val="0"/>
          <w:sz w:val="22"/>
        </w:rPr>
        <w:t>Docente: Edwin Alexander Puertas Del Castillo</w:t>
      </w:r>
    </w:p>
    <w:p/>
    <w:p/>
    <w:p/>
    <w:p/>
    <w:p>
      <w:pPr>
        <w:jc w:val="center"/>
      </w:pPr>
      <w:r>
        <w:rPr>
          <w:b w:val="0"/>
          <w:i w:val="0"/>
          <w:sz w:val="22"/>
        </w:rPr>
        <w:t>Cartagena de Indias, 18 de octubre de 2026</w:t>
      </w:r>
    </w:p>
    <w:p>
      <w:pPr>
        <w:jc w:val="center"/>
      </w:pPr>
      <w:r>
        <w:rPr>
          <w:b w:val="0"/>
          <w:i/>
          <w:sz w:val="18"/>
        </w:rPr>
        <w:t>Documento base: «Diseño inicial de un agente inteligente — StreamRetain-Agent» (Tarea 2, L. Ortiz, 25 de agosto de 2026), corregido y ampliado.</w:t>
      </w:r>
    </w:p>
    <w:p>
      <w:r>
        <w:br w:type="page"/>
      </w:r>
    </w:p>
    <w:p>
      <w:pPr>
        <w:pStyle w:val="Heading1"/>
      </w:pPr>
      <w:r>
        <w:t>Tabla de cambios</w:t>
      </w:r>
    </w:p>
    <w:p>
      <w:pPr>
        <w:jc w:val="both"/>
      </w:pPr>
      <w:r>
        <w:rPr>
          <w:b/>
          <w:i w:val="0"/>
        </w:rPr>
        <w:t>Retroalimentación del docente:</w:t>
      </w:r>
      <w:r>
        <w:rPr>
          <w:b w:val="0"/>
          <w:i w:val="0"/>
        </w:rPr>
        <w:t xml:space="preserve"> no recibimos retroalimentación del docente para el documento de StreamRetain-Agent de la Tarea 2. Por eso esta tabla recoge </w:t>
      </w:r>
      <w:r>
        <w:rPr>
          <w:b/>
          <w:i w:val="0"/>
        </w:rPr>
        <w:t>solo los cambios propios</w:t>
      </w:r>
      <w:r>
        <w:rPr>
          <w:b w:val="0"/>
          <w:i w:val="0"/>
        </w:rPr>
        <w:t xml:space="preserve"> de la pareja: la matriz de decisión, las medidas reformuladas, las precisiones de diseño que surgieron al implementar y la sección 9 nueva. No se incluyen ni se simulan correcciones del docente.</w:t>
      </w:r>
    </w:p>
    <w:p>
      <w:pPr>
        <w:keepNext/>
        <w:spacing w:after="40"/>
      </w:pPr>
      <w:r>
        <w:rPr>
          <w:b/>
          <w:sz w:val="19"/>
        </w:rPr>
        <w:t xml:space="preserve">Tabla 1. </w:t>
      </w:r>
      <w:r>
        <w:rPr>
          <w:b w:val="0"/>
          <w:i w:val="0"/>
          <w:sz w:val="19"/>
        </w:rPr>
        <w:t>Cambios respecto al documento de la Tarea 2.</w:t>
      </w:r>
    </w:p>
    <w:tbl>
      <w:tblPr>
        <w:tblStyle w:val="TableGrid"/>
        <w:tblW w:type="auto" w:w="0"/>
        <w:jc w:val="center"/>
        <w:tblLook w:firstColumn="1" w:firstRow="1" w:lastColumn="0" w:lastRow="0" w:noHBand="0" w:noVBand="1" w:val="04A0"/>
      </w:tblPr>
      <w:tblGrid>
        <w:gridCol w:w="2408"/>
        <w:gridCol w:w="2408"/>
        <w:gridCol w:w="2408"/>
        <w:gridCol w:w="2408"/>
      </w:tblGrid>
      <w:tr>
        <w:trPr>
          <w:tblHeader w:val="true"/>
        </w:trPr>
        <w:tc>
          <w:tcPr>
            <w:tcW w:type="dxa" w:w="1587"/>
            <w:shd w:val="clear" w:color="auto" w:fill="1F3A5F"/>
          </w:tcPr>
          <w:p>
            <w:r/>
            <w:r>
              <w:rPr>
                <w:b/>
                <w:i w:val="0"/>
                <w:color w:val="FFFFFF"/>
                <w:sz w:val="16"/>
              </w:rPr>
              <w:t>Sección</w:t>
            </w:r>
          </w:p>
        </w:tc>
        <w:tc>
          <w:tcPr>
            <w:tcW w:type="dxa" w:w="2268"/>
            <w:shd w:val="clear" w:color="auto" w:fill="1F3A5F"/>
          </w:tcPr>
          <w:p>
            <w:r/>
            <w:r>
              <w:rPr>
                <w:b/>
                <w:i w:val="0"/>
                <w:color w:val="FFFFFF"/>
                <w:sz w:val="16"/>
              </w:rPr>
              <w:t>Qué decía</w:t>
            </w:r>
          </w:p>
        </w:tc>
        <w:tc>
          <w:tcPr>
            <w:tcW w:type="dxa" w:w="2948"/>
            <w:shd w:val="clear" w:color="auto" w:fill="1F3A5F"/>
          </w:tcPr>
          <w:p>
            <w:r/>
            <w:r>
              <w:rPr>
                <w:b/>
                <w:i w:val="0"/>
                <w:color w:val="FFFFFF"/>
                <w:sz w:val="16"/>
              </w:rPr>
              <w:t>Qué dice ahora</w:t>
            </w:r>
          </w:p>
        </w:tc>
        <w:tc>
          <w:tcPr>
            <w:tcW w:type="dxa" w:w="2835"/>
            <w:shd w:val="clear" w:color="auto" w:fill="1F3A5F"/>
          </w:tcPr>
          <w:p>
            <w:r/>
            <w:r>
              <w:rPr>
                <w:b/>
                <w:i w:val="0"/>
                <w:color w:val="FFFFFF"/>
                <w:sz w:val="16"/>
              </w:rPr>
              <w:t>Por qué cambió</w:t>
            </w:r>
          </w:p>
        </w:tc>
      </w:tr>
      <w:tr>
        <w:tc>
          <w:tcPr>
            <w:tcW w:type="dxa" w:w="1587"/>
          </w:tcPr>
          <w:p>
            <w:r/>
            <w:r>
              <w:rPr>
                <w:b w:val="0"/>
                <w:i w:val="0"/>
                <w:sz w:val="16"/>
              </w:rPr>
              <w:t>Portada</w:t>
            </w:r>
          </w:p>
        </w:tc>
        <w:tc>
          <w:tcPr>
            <w:tcW w:type="dxa" w:w="2268"/>
          </w:tcPr>
          <w:p>
            <w:r/>
            <w:r>
              <w:rPr>
                <w:b w:val="0"/>
                <w:i w:val="0"/>
                <w:sz w:val="16"/>
              </w:rPr>
              <w:t>Presentado por: Levis Adrian Ortiz Cano</w:t>
            </w:r>
          </w:p>
        </w:tc>
        <w:tc>
          <w:tcPr>
            <w:tcW w:type="dxa" w:w="2948"/>
          </w:tcPr>
          <w:p>
            <w:r/>
            <w:r>
              <w:rPr>
                <w:b w:val="0"/>
                <w:i w:val="0"/>
                <w:sz w:val="16"/>
              </w:rPr>
              <w:t>Presentado por ambos integrantes de la pareja</w:t>
            </w:r>
          </w:p>
        </w:tc>
        <w:tc>
          <w:tcPr>
            <w:tcW w:type="dxa" w:w="2835"/>
          </w:tcPr>
          <w:p>
            <w:r/>
            <w:r>
              <w:rPr>
                <w:b w:val="0"/>
                <w:i w:val="0"/>
                <w:sz w:val="16"/>
              </w:rPr>
              <w:t>La Tarea 3 es en pareja y tiene una sola entrega.</w:t>
            </w:r>
          </w:p>
        </w:tc>
      </w:tr>
      <w:tr>
        <w:tc>
          <w:tcPr>
            <w:tcW w:type="dxa" w:w="1587"/>
            <w:shd w:val="clear" w:color="auto" w:fill="EEF2F7"/>
          </w:tcPr>
          <w:p>
            <w:r/>
            <w:r>
              <w:rPr>
                <w:b w:val="0"/>
                <w:i w:val="0"/>
                <w:sz w:val="16"/>
              </w:rPr>
              <w:t>Selección justificada del agente (nueva)</w:t>
            </w:r>
          </w:p>
        </w:tc>
        <w:tc>
          <w:tcPr>
            <w:tcW w:type="dxa" w:w="2268"/>
            <w:shd w:val="clear" w:color="auto" w:fill="EEF2F7"/>
          </w:tcPr>
          <w:p>
            <w:r/>
            <w:r>
              <w:rPr>
                <w:b w:val="0"/>
                <w:i w:val="0"/>
                <w:sz w:val="16"/>
              </w:rPr>
              <w:t>—</w:t>
            </w:r>
          </w:p>
        </w:tc>
        <w:tc>
          <w:tcPr>
            <w:tcW w:type="dxa" w:w="2948"/>
            <w:shd w:val="clear" w:color="auto" w:fill="EEF2F7"/>
          </w:tcPr>
          <w:p>
            <w:r/>
            <w:r>
              <w:rPr>
                <w:b w:val="0"/>
                <w:i w:val="0"/>
                <w:sz w:val="16"/>
              </w:rPr>
              <w:t>Matriz de decisión ponderada, sensibilidad y justificación (Fase 1)</w:t>
            </w:r>
          </w:p>
        </w:tc>
        <w:tc>
          <w:tcPr>
            <w:tcW w:type="dxa" w:w="2835"/>
            <w:shd w:val="clear" w:color="auto" w:fill="EEF2F7"/>
          </w:tcPr>
          <w:p>
            <w:r/>
            <w:r>
              <w:rPr>
                <w:b w:val="0"/>
                <w:i w:val="0"/>
                <w:sz w:val="16"/>
              </w:rPr>
              <w:t>La guía la exige como sección nueva antes del diseño.</w:t>
            </w:r>
          </w:p>
        </w:tc>
      </w:tr>
      <w:tr>
        <w:tc>
          <w:tcPr>
            <w:tcW w:type="dxa" w:w="1587"/>
          </w:tcPr>
          <w:p>
            <w:r/>
            <w:r>
              <w:rPr>
                <w:b w:val="0"/>
                <w:i w:val="0"/>
                <w:sz w:val="16"/>
              </w:rPr>
              <w:t>4. Descripción del entorno</w:t>
            </w:r>
          </w:p>
        </w:tc>
        <w:tc>
          <w:tcPr>
            <w:tcW w:type="dxa" w:w="2268"/>
          </w:tcPr>
          <w:p>
            <w:r/>
            <w:r>
              <w:rPr>
                <w:b w:val="0"/>
                <w:i w:val="0"/>
                <w:sz w:val="16"/>
              </w:rPr>
              <w:t>«El conjunto de datos definitivo deberá quedar formalmente definido antes de la fase de evaluación»</w:t>
            </w:r>
          </w:p>
        </w:tc>
        <w:tc>
          <w:tcPr>
            <w:tcW w:type="dxa" w:w="2948"/>
          </w:tcPr>
          <w:p>
            <w:r/>
            <w:r>
              <w:rPr>
                <w:b w:val="0"/>
                <w:i w:val="0"/>
                <w:sz w:val="16"/>
              </w:rPr>
              <w:t>El entorno de evaluación es un simulador estocástico con datos sintéticos, 13 escenarios definidos y congelados antes de probar</w:t>
            </w:r>
          </w:p>
        </w:tc>
        <w:tc>
          <w:tcPr>
            <w:tcW w:type="dxa" w:w="2835"/>
          </w:tcPr>
          <w:p>
            <w:r/>
            <w:r>
              <w:rPr>
                <w:b w:val="0"/>
                <w:i w:val="0"/>
                <w:sz w:val="16"/>
              </w:rPr>
              <w:t>No hay acceso a una plataforma real; la guía permite un simulador mínimo que respete las secciones 3 y 5.</w:t>
            </w:r>
          </w:p>
        </w:tc>
      </w:tr>
      <w:tr>
        <w:tc>
          <w:tcPr>
            <w:tcW w:type="dxa" w:w="1587"/>
            <w:shd w:val="clear" w:color="auto" w:fill="EEF2F7"/>
          </w:tcPr>
          <w:p>
            <w:r/>
            <w:r>
              <w:rPr>
                <w:b w:val="0"/>
                <w:i w:val="0"/>
                <w:sz w:val="16"/>
              </w:rPr>
              <w:t>5. Entradas y sensores</w:t>
            </w:r>
          </w:p>
        </w:tc>
        <w:tc>
          <w:tcPr>
            <w:tcW w:type="dxa" w:w="2268"/>
            <w:shd w:val="clear" w:color="auto" w:fill="EEF2F7"/>
          </w:tcPr>
          <w:p>
            <w:r/>
            <w:r>
              <w:rPr>
                <w:b w:val="0"/>
                <w:i w:val="0"/>
                <w:sz w:val="16"/>
              </w:rPr>
              <w:t>Estado posterior de la suscripción como dato categórico</w:t>
            </w:r>
          </w:p>
        </w:tc>
        <w:tc>
          <w:tcPr>
            <w:tcW w:type="dxa" w:w="2948"/>
            <w:shd w:val="clear" w:color="auto" w:fill="EEF2F7"/>
          </w:tcPr>
          <w:p>
            <w:r/>
            <w:r>
              <w:rPr>
                <w:b w:val="0"/>
                <w:i w:val="0"/>
                <w:sz w:val="16"/>
              </w:rPr>
              <w:t>Se precisa que el agente lo recibe 4 semanas después de cada predicción y solo lo usa para aprender</w:t>
            </w:r>
          </w:p>
        </w:tc>
        <w:tc>
          <w:tcPr>
            <w:tcW w:type="dxa" w:w="2835"/>
            <w:shd w:val="clear" w:color="auto" w:fill="EEF2F7"/>
          </w:tcPr>
          <w:p>
            <w:r/>
            <w:r>
              <w:rPr>
                <w:b w:val="0"/>
                <w:i w:val="0"/>
                <w:sz w:val="16"/>
              </w:rPr>
              <w:t>Evitar fuga de información: el agente no puede ver el futuro al decidir.</w:t>
            </w:r>
          </w:p>
        </w:tc>
      </w:tr>
      <w:tr>
        <w:tc>
          <w:tcPr>
            <w:tcW w:type="dxa" w:w="1587"/>
          </w:tcPr>
          <w:p>
            <w:r/>
            <w:r>
              <w:rPr>
                <w:b w:val="0"/>
                <w:i w:val="0"/>
                <w:sz w:val="16"/>
              </w:rPr>
              <w:t>7. Medidas de desempeño</w:t>
            </w:r>
          </w:p>
        </w:tc>
        <w:tc>
          <w:tcPr>
            <w:tcW w:type="dxa" w:w="2268"/>
          </w:tcPr>
          <w:p>
            <w:r/>
            <w:r>
              <w:rPr>
                <w:b w:val="0"/>
                <w:i w:val="0"/>
                <w:sz w:val="16"/>
              </w:rPr>
              <w:t>«Precisión general» ≥ 75 % = predicciones correctas / total</w:t>
            </w:r>
          </w:p>
        </w:tc>
        <w:tc>
          <w:tcPr>
            <w:tcW w:type="dxa" w:w="2948"/>
          </w:tcPr>
          <w:p>
            <w:r/>
            <w:r>
              <w:rPr>
                <w:b w:val="0"/>
                <w:i w:val="0"/>
                <w:sz w:val="16"/>
              </w:rPr>
              <w:t>Se nombra «exactitud (accuracy)» y se conserva como M1. La medida principal pasa a ser la precisión balanceada ≥ 75 % (M1R). Se agregan M2–M6 con fórmula y umbral</w:t>
            </w:r>
          </w:p>
        </w:tc>
        <w:tc>
          <w:tcPr>
            <w:tcW w:type="dxa" w:w="2835"/>
          </w:tcPr>
          <w:p>
            <w:r/>
            <w:r>
              <w:rPr>
                <w:b w:val="0"/>
                <w:i w:val="0"/>
                <w:sz w:val="16"/>
              </w:rPr>
              <w:t>«Precisión» se confunde con «precision». Con tasas de cancelación ≤ 25 %, predecir «nadie cancela» ya da accuracy ≥ 75 %: la medida original no discrimina. La guía pide fórmula, umbral previo y prueba por medida.</w:t>
            </w:r>
          </w:p>
        </w:tc>
      </w:tr>
      <w:tr>
        <w:tc>
          <w:tcPr>
            <w:tcW w:type="dxa" w:w="1587"/>
            <w:shd w:val="clear" w:color="auto" w:fill="EEF2F7"/>
          </w:tcPr>
          <w:p>
            <w:r/>
            <w:r>
              <w:rPr>
                <w:b w:val="0"/>
                <w:i w:val="0"/>
                <w:sz w:val="16"/>
              </w:rPr>
              <w:t>8. Razonamiento y toma de decisiones</w:t>
            </w:r>
          </w:p>
        </w:tc>
        <w:tc>
          <w:tcPr>
            <w:tcW w:type="dxa" w:w="2268"/>
            <w:shd w:val="clear" w:color="auto" w:fill="EEF2F7"/>
          </w:tcPr>
          <w:p>
            <w:r/>
            <w:r>
              <w:rPr>
                <w:b w:val="0"/>
                <w:i w:val="0"/>
                <w:sz w:val="16"/>
              </w:rPr>
              <w:t>«Se podrá utilizar SHAP»</w:t>
            </w:r>
          </w:p>
        </w:tc>
        <w:tc>
          <w:tcPr>
            <w:tcW w:type="dxa" w:w="2948"/>
            <w:shd w:val="clear" w:color="auto" w:fill="EEF2F7"/>
          </w:tcPr>
          <w:p>
            <w:r/>
            <w:r>
              <w:rPr>
                <w:b w:val="0"/>
                <w:i w:val="0"/>
                <w:sz w:val="16"/>
              </w:rPr>
              <w:t>Explicación local por oclusión (aporte de cada variable al reemplazarla por su mediana)</w:t>
            </w:r>
          </w:p>
        </w:tc>
        <w:tc>
          <w:tcPr>
            <w:tcW w:type="dxa" w:w="2835"/>
            <w:shd w:val="clear" w:color="auto" w:fill="EEF2F7"/>
          </w:tcPr>
          <w:p>
            <w:r/>
            <w:r>
              <w:rPr>
                <w:b w:val="0"/>
                <w:i w:val="0"/>
                <w:sz w:val="16"/>
              </w:rPr>
              <w:t>Funciona igual con el modelo calibrado, es rápida y evita una dependencia pesada en el despliegue.</w:t>
            </w:r>
          </w:p>
        </w:tc>
      </w:tr>
      <w:tr>
        <w:tc>
          <w:tcPr>
            <w:tcW w:type="dxa" w:w="1587"/>
          </w:tcPr>
          <w:p>
            <w:r/>
            <w:r>
              <w:rPr>
                <w:b w:val="0"/>
                <w:i w:val="0"/>
                <w:sz w:val="16"/>
              </w:rPr>
              <w:t>8. Aprendizaje y adaptación</w:t>
            </w:r>
          </w:p>
        </w:tc>
        <w:tc>
          <w:tcPr>
            <w:tcW w:type="dxa" w:w="2268"/>
          </w:tcPr>
          <w:p>
            <w:r/>
            <w:r>
              <w:rPr>
                <w:b w:val="0"/>
                <w:i w:val="0"/>
                <w:sz w:val="16"/>
              </w:rPr>
              <w:t>Reentrenar si la nueva versión mantiene o mejora la medida</w:t>
            </w:r>
          </w:p>
        </w:tc>
        <w:tc>
          <w:tcPr>
            <w:tcW w:type="dxa" w:w="2948"/>
          </w:tcPr>
          <w:p>
            <w:r/>
            <w:r>
              <w:rPr>
                <w:b w:val="0"/>
                <w:i w:val="0"/>
                <w:sz w:val="16"/>
              </w:rPr>
              <w:t>Compuerta concreta: precisión balanceada en un holdout de resultados recientes; se excluyen los usuarios intervenidos</w:t>
            </w:r>
          </w:p>
        </w:tc>
        <w:tc>
          <w:tcPr>
            <w:tcW w:type="dxa" w:w="2835"/>
          </w:tcPr>
          <w:p>
            <w:r/>
            <w:r>
              <w:rPr>
                <w:b w:val="0"/>
                <w:i w:val="0"/>
                <w:sz w:val="16"/>
              </w:rPr>
              <w:t>La oferta cambia el resultado de quien la recibe y sesgaría la etiqueta.</w:t>
            </w:r>
          </w:p>
        </w:tc>
      </w:tr>
      <w:tr>
        <w:tc>
          <w:tcPr>
            <w:tcW w:type="dxa" w:w="1587"/>
            <w:shd w:val="clear" w:color="auto" w:fill="EEF2F7"/>
          </w:tcPr>
          <w:p>
            <w:r/>
            <w:r>
              <w:rPr>
                <w:b w:val="0"/>
                <w:i w:val="0"/>
                <w:sz w:val="16"/>
              </w:rPr>
              <w:t>9. Desarrollo del agente (nueva)</w:t>
            </w:r>
          </w:p>
        </w:tc>
        <w:tc>
          <w:tcPr>
            <w:tcW w:type="dxa" w:w="2268"/>
            <w:shd w:val="clear" w:color="auto" w:fill="EEF2F7"/>
          </w:tcPr>
          <w:p>
            <w:r/>
            <w:r>
              <w:rPr>
                <w:b w:val="0"/>
                <w:i w:val="0"/>
                <w:sz w:val="16"/>
              </w:rPr>
              <w:t>—</w:t>
            </w:r>
          </w:p>
        </w:tc>
        <w:tc>
          <w:tcPr>
            <w:tcW w:type="dxa" w:w="2948"/>
            <w:shd w:val="clear" w:color="auto" w:fill="EEF2F7"/>
          </w:tcPr>
          <w:p>
            <w:r/>
            <w:r>
              <w:rPr>
                <w:b w:val="0"/>
                <w:i w:val="0"/>
                <w:sz w:val="16"/>
              </w:rPr>
              <w:t>Arquitectura, tecnologías, entradas, salidas, diagramas de secuencia, diferencias, pruebas, limitaciones y enlaces</w:t>
            </w:r>
          </w:p>
        </w:tc>
        <w:tc>
          <w:tcPr>
            <w:tcW w:type="dxa" w:w="2835"/>
            <w:shd w:val="clear" w:color="auto" w:fill="EEF2F7"/>
          </w:tcPr>
          <w:p>
            <w:r/>
            <w:r>
              <w:rPr>
                <w:b w:val="0"/>
                <w:i w:val="0"/>
                <w:sz w:val="16"/>
              </w:rPr>
              <w:t>Exigida por la guía de la Tarea 3.</w:t>
            </w:r>
          </w:p>
        </w:tc>
      </w:tr>
      <w:tr>
        <w:tc>
          <w:tcPr>
            <w:tcW w:type="dxa" w:w="1587"/>
          </w:tcPr>
          <w:p>
            <w:r/>
            <w:r>
              <w:rPr>
                <w:b w:val="0"/>
                <w:i w:val="0"/>
                <w:sz w:val="16"/>
              </w:rPr>
              <w:t>10. Conclusiones</w:t>
            </w:r>
          </w:p>
        </w:tc>
        <w:tc>
          <w:tcPr>
            <w:tcW w:type="dxa" w:w="2268"/>
          </w:tcPr>
          <w:p>
            <w:r/>
            <w:r>
              <w:rPr>
                <w:b w:val="0"/>
                <w:i w:val="0"/>
                <w:sz w:val="16"/>
              </w:rPr>
              <w:t>Sección 9</w:t>
            </w:r>
          </w:p>
        </w:tc>
        <w:tc>
          <w:tcPr>
            <w:tcW w:type="dxa" w:w="2948"/>
          </w:tcPr>
          <w:p>
            <w:r/>
            <w:r>
              <w:rPr>
                <w:b w:val="0"/>
                <w:i w:val="0"/>
                <w:sz w:val="16"/>
              </w:rPr>
              <w:t>Pasa a ser la sección 10 y se actualiza con los resultados</w:t>
            </w:r>
          </w:p>
        </w:tc>
        <w:tc>
          <w:tcPr>
            <w:tcW w:type="dxa" w:w="2835"/>
          </w:tcPr>
          <w:p>
            <w:r/>
            <w:r>
              <w:rPr>
                <w:b w:val="0"/>
                <w:i w:val="0"/>
                <w:sz w:val="16"/>
              </w:rPr>
              <w:t>Orden exigido por la guía.</w:t>
            </w:r>
          </w:p>
        </w:tc>
      </w:tr>
      <w:tr>
        <w:tc>
          <w:tcPr>
            <w:tcW w:type="dxa" w:w="1587"/>
            <w:shd w:val="clear" w:color="auto" w:fill="EEF2F7"/>
          </w:tcPr>
          <w:p>
            <w:r/>
            <w:r>
              <w:rPr>
                <w:b w:val="0"/>
                <w:i w:val="0"/>
                <w:sz w:val="16"/>
              </w:rPr>
              <w:t>Referencias</w:t>
            </w:r>
          </w:p>
        </w:tc>
        <w:tc>
          <w:tcPr>
            <w:tcW w:type="dxa" w:w="2268"/>
            <w:shd w:val="clear" w:color="auto" w:fill="EEF2F7"/>
          </w:tcPr>
          <w:p>
            <w:r/>
            <w:r>
              <w:rPr>
                <w:b w:val="0"/>
                <w:i w:val="0"/>
                <w:sz w:val="16"/>
              </w:rPr>
              <w:t>Formato libre; Russell y Norvig sin año ni edición</w:t>
            </w:r>
          </w:p>
        </w:tc>
        <w:tc>
          <w:tcPr>
            <w:tcW w:type="dxa" w:w="2948"/>
            <w:shd w:val="clear" w:color="auto" w:fill="EEF2F7"/>
          </w:tcPr>
          <w:p>
            <w:r/>
            <w:r>
              <w:rPr>
                <w:b w:val="0"/>
                <w:i w:val="0"/>
                <w:sz w:val="16"/>
              </w:rPr>
              <w:t>Formato APA 7, con citas en el texto que corresponden una a una; se agregan las fuentes usadas en la implementación</w:t>
            </w:r>
          </w:p>
        </w:tc>
        <w:tc>
          <w:tcPr>
            <w:tcW w:type="dxa" w:w="2835"/>
            <w:shd w:val="clear" w:color="auto" w:fill="EEF2F7"/>
          </w:tcPr>
          <w:p>
            <w:r/>
            <w:r>
              <w:rPr>
                <w:b w:val="0"/>
                <w:i w:val="0"/>
                <w:sz w:val="16"/>
              </w:rPr>
              <w:t>Normas del curso.</w:t>
            </w:r>
          </w:p>
        </w:tc>
      </w:tr>
    </w:tbl>
    <w:p>
      <w:pPr>
        <w:spacing w:after="40"/>
      </w:pPr>
    </w:p>
    <w:p>
      <w:pPr>
        <w:pStyle w:val="Heading1"/>
      </w:pPr>
      <w:r>
        <w:t>Selección justificada del agente (Fase 1)</w:t>
      </w:r>
    </w:p>
    <w:p>
      <w:pPr>
        <w:jc w:val="both"/>
      </w:pPr>
      <w:r>
        <w:rPr>
          <w:b w:val="0"/>
          <w:i w:val="0"/>
        </w:rPr>
        <w:t>Comparamos los dos agentes que diseñamos en la Tarea 2 con una matriz de decisión ponderada. Agente A: PickFlow-Agent, optimización de picking en bodega (C. Menco). Agente B: StreamRetain-Agent, predicción de cancelación en streaming (L. Ortiz).</w:t>
      </w:r>
    </w:p>
    <w:p>
      <w:pPr>
        <w:jc w:val="both"/>
      </w:pPr>
      <w:r>
        <w:rPr>
          <w:b w:val="0"/>
          <w:i w:val="0"/>
        </w:rPr>
        <w:t xml:space="preserve">Primero fijamos los pesos (los seis criterios mínimos de la guía, con su peso sugerido) y después puntuamos de 1 a 5, con una frase de evidencia por puntaje. El puntaje es S = Σ (wᵢ · pᵢ), con Σ wᵢ = 1 y máximo 5. Todo se calcula con </w:t>
      </w:r>
      <w:r>
        <w:rPr>
          <w:rFonts w:ascii="Consolas" w:hAnsi="Consolas" w:eastAsia="Consolas"/>
          <w:b w:val="0"/>
          <w:i w:val="0"/>
        </w:rPr>
        <w:t>scripts/matriz_decision.py</w:t>
      </w:r>
      <w:r>
        <w:rPr>
          <w:b w:val="0"/>
          <w:i w:val="0"/>
        </w:rPr>
        <w:t xml:space="preserve"> a partir de </w:t>
      </w:r>
      <w:r>
        <w:rPr>
          <w:rFonts w:ascii="Consolas" w:hAnsi="Consolas" w:eastAsia="Consolas"/>
          <w:b w:val="0"/>
          <w:i w:val="0"/>
        </w:rPr>
        <w:t>config/matriz.yaml</w:t>
      </w:r>
      <w:r>
        <w:rPr>
          <w:b w:val="0"/>
          <w:i w:val="0"/>
        </w:rPr>
        <w:t>, así que cualquiera puede reconstruir la decisión.</w:t>
      </w:r>
    </w:p>
    <w:p>
      <w:pPr>
        <w:keepNext/>
        <w:spacing w:after="40"/>
      </w:pPr>
      <w:r>
        <w:rPr>
          <w:b/>
          <w:sz w:val="19"/>
        </w:rPr>
        <w:t xml:space="preserve">Tabla 2. </w:t>
      </w:r>
      <w:r>
        <w:rPr>
          <w:b w:val="0"/>
          <w:i w:val="0"/>
          <w:sz w:val="19"/>
        </w:rPr>
        <w:t>Matriz de decisión ponderada (A = PickFlow-Agent, B = StreamRetain-Agent).</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rPr>
          <w:tblHeader w:val="true"/>
        </w:trPr>
        <w:tc>
          <w:tcPr>
            <w:tcW w:type="dxa" w:w="1474"/>
            <w:shd w:val="clear" w:color="auto" w:fill="1F3A5F"/>
          </w:tcPr>
          <w:p>
            <w:r/>
            <w:r>
              <w:rPr>
                <w:b/>
                <w:i w:val="0"/>
                <w:color w:val="FFFFFF"/>
                <w:sz w:val="15"/>
              </w:rPr>
              <w:t>Criterio</w:t>
            </w:r>
          </w:p>
        </w:tc>
        <w:tc>
          <w:tcPr>
            <w:tcW w:type="dxa" w:w="680"/>
            <w:shd w:val="clear" w:color="auto" w:fill="1F3A5F"/>
          </w:tcPr>
          <w:p>
            <w:r/>
            <w:r>
              <w:rPr>
                <w:b/>
                <w:i w:val="0"/>
                <w:color w:val="FFFFFF"/>
                <w:sz w:val="15"/>
              </w:rPr>
              <w:t>Peso</w:t>
            </w:r>
          </w:p>
        </w:tc>
        <w:tc>
          <w:tcPr>
            <w:tcW w:type="dxa" w:w="454"/>
            <w:shd w:val="clear" w:color="auto" w:fill="1F3A5F"/>
          </w:tcPr>
          <w:p>
            <w:r/>
            <w:r>
              <w:rPr>
                <w:b/>
                <w:i w:val="0"/>
                <w:color w:val="FFFFFF"/>
                <w:sz w:val="15"/>
              </w:rPr>
              <w:t>A</w:t>
            </w:r>
          </w:p>
        </w:tc>
        <w:tc>
          <w:tcPr>
            <w:tcW w:type="dxa" w:w="3231"/>
            <w:shd w:val="clear" w:color="auto" w:fill="1F3A5F"/>
          </w:tcPr>
          <w:p>
            <w:r/>
            <w:r>
              <w:rPr>
                <w:b/>
                <w:i w:val="0"/>
                <w:color w:val="FFFFFF"/>
                <w:sz w:val="15"/>
              </w:rPr>
              <w:t>Evidencia A</w:t>
            </w:r>
          </w:p>
        </w:tc>
        <w:tc>
          <w:tcPr>
            <w:tcW w:type="dxa" w:w="454"/>
            <w:shd w:val="clear" w:color="auto" w:fill="1F3A5F"/>
          </w:tcPr>
          <w:p>
            <w:r/>
            <w:r>
              <w:rPr>
                <w:b/>
                <w:i w:val="0"/>
                <w:color w:val="FFFFFF"/>
                <w:sz w:val="15"/>
              </w:rPr>
              <w:t>B</w:t>
            </w:r>
          </w:p>
        </w:tc>
        <w:tc>
          <w:tcPr>
            <w:tcW w:type="dxa" w:w="3345"/>
            <w:shd w:val="clear" w:color="auto" w:fill="1F3A5F"/>
          </w:tcPr>
          <w:p>
            <w:r/>
            <w:r>
              <w:rPr>
                <w:b/>
                <w:i w:val="0"/>
                <w:color w:val="FFFFFF"/>
                <w:sz w:val="15"/>
              </w:rPr>
              <w:t>Evidencia B</w:t>
            </w:r>
          </w:p>
        </w:tc>
      </w:tr>
      <w:tr>
        <w:tc>
          <w:tcPr>
            <w:tcW w:type="dxa" w:w="1474"/>
          </w:tcPr>
          <w:p>
            <w:r/>
            <w:r>
              <w:rPr>
                <w:b w:val="0"/>
                <w:i w:val="0"/>
                <w:sz w:val="15"/>
              </w:rPr>
              <w:t>Viabilidad técnica</w:t>
            </w:r>
          </w:p>
        </w:tc>
        <w:tc>
          <w:tcPr>
            <w:tcW w:type="dxa" w:w="680"/>
          </w:tcPr>
          <w:p>
            <w:r/>
            <w:r>
              <w:rPr>
                <w:b w:val="0"/>
                <w:i w:val="0"/>
                <w:sz w:val="15"/>
              </w:rPr>
              <w:t>25 %</w:t>
            </w:r>
          </w:p>
        </w:tc>
        <w:tc>
          <w:tcPr>
            <w:tcW w:type="dxa" w:w="454"/>
          </w:tcPr>
          <w:p>
            <w:r/>
            <w:r>
              <w:rPr>
                <w:b w:val="0"/>
                <w:i w:val="0"/>
                <w:sz w:val="15"/>
              </w:rPr>
              <w:t>3</w:t>
            </w:r>
          </w:p>
        </w:tc>
        <w:tc>
          <w:tcPr>
            <w:tcW w:type="dxa" w:w="3231"/>
          </w:tcPr>
          <w:p>
            <w:r/>
            <w:r>
              <w:rPr>
                <w:b w:val="0"/>
                <w:i w:val="0"/>
                <w:sz w:val="15"/>
              </w:rPr>
              <w:t>Exige simular bodega con operarios y robots y aprender una política de asignación y ruta (utilidad + aprendizaje); factible, pero con más componentes nuevos que construir.</w:t>
            </w:r>
          </w:p>
        </w:tc>
        <w:tc>
          <w:tcPr>
            <w:tcW w:type="dxa" w:w="454"/>
          </w:tcPr>
          <w:p>
            <w:r/>
            <w:r>
              <w:rPr>
                <w:b w:val="0"/>
                <w:i w:val="0"/>
                <w:sz w:val="15"/>
              </w:rPr>
              <w:t>5</w:t>
            </w:r>
          </w:p>
        </w:tc>
        <w:tc>
          <w:tcPr>
            <w:tcW w:type="dxa" w:w="3345"/>
          </w:tcPr>
          <w:p>
            <w:r/>
            <w:r>
              <w:rPr>
                <w:b w:val="0"/>
                <w:i w:val="0"/>
                <w:sz w:val="15"/>
              </w:rPr>
              <w:t>Pipeline supervisado conocido (scikit-learn: preprocesamiento, clasificador, calibración) más un simulador semanal sencillo; todos los componentes ya los sabemos implementar.</w:t>
            </w:r>
          </w:p>
        </w:tc>
      </w:tr>
      <w:tr>
        <w:tc>
          <w:tcPr>
            <w:tcW w:type="dxa" w:w="1474"/>
            <w:shd w:val="clear" w:color="auto" w:fill="EEF2F7"/>
          </w:tcPr>
          <w:p>
            <w:r/>
            <w:r>
              <w:rPr>
                <w:b w:val="0"/>
                <w:i w:val="0"/>
                <w:sz w:val="15"/>
              </w:rPr>
              <w:t>Disponibilidad de datos o entorno</w:t>
            </w:r>
          </w:p>
        </w:tc>
        <w:tc>
          <w:tcPr>
            <w:tcW w:type="dxa" w:w="680"/>
            <w:shd w:val="clear" w:color="auto" w:fill="EEF2F7"/>
          </w:tcPr>
          <w:p>
            <w:r/>
            <w:r>
              <w:rPr>
                <w:b w:val="0"/>
                <w:i w:val="0"/>
                <w:sz w:val="15"/>
              </w:rPr>
              <w:t>20 %</w:t>
            </w:r>
          </w:p>
        </w:tc>
        <w:tc>
          <w:tcPr>
            <w:tcW w:type="dxa" w:w="454"/>
            <w:shd w:val="clear" w:color="auto" w:fill="EEF2F7"/>
          </w:tcPr>
          <w:p>
            <w:r/>
            <w:r>
              <w:rPr>
                <w:b w:val="0"/>
                <w:i w:val="0"/>
                <w:sz w:val="15"/>
              </w:rPr>
              <w:t>3</w:t>
            </w:r>
          </w:p>
        </w:tc>
        <w:tc>
          <w:tcPr>
            <w:tcW w:type="dxa" w:w="3231"/>
            <w:shd w:val="clear" w:color="auto" w:fill="EEF2F7"/>
          </w:tcPr>
          <w:p>
            <w:r/>
            <w:r>
              <w:rPr>
                <w:b w:val="0"/>
                <w:i w:val="0"/>
                <w:sz w:val="15"/>
              </w:rPr>
              <w:t>No hay WMS real; el simulador debe modelar rutas, tiempos estocásticos, picos de demanda y fallas de robots, sin datos de referencia para calibrarlo.</w:t>
            </w:r>
          </w:p>
        </w:tc>
        <w:tc>
          <w:tcPr>
            <w:tcW w:type="dxa" w:w="454"/>
            <w:shd w:val="clear" w:color="auto" w:fill="EEF2F7"/>
          </w:tcPr>
          <w:p>
            <w:r/>
            <w:r>
              <w:rPr>
                <w:b w:val="0"/>
                <w:i w:val="0"/>
                <w:sz w:val="15"/>
              </w:rPr>
              <w:t>4</w:t>
            </w:r>
          </w:p>
        </w:tc>
        <w:tc>
          <w:tcPr>
            <w:tcW w:type="dxa" w:w="3345"/>
            <w:shd w:val="clear" w:color="auto" w:fill="EEF2F7"/>
          </w:tcPr>
          <w:p>
            <w:r/>
            <w:r>
              <w:rPr>
                <w:b w:val="0"/>
                <w:i w:val="0"/>
                <w:sz w:val="15"/>
              </w:rPr>
              <w:t>Las percepciones de la sección 5 (horas vistas, días sin login, plan, cambio de pago) se generan con un simulador semanal estocástico; no existe historial semanal real, por eso no es 5.</w:t>
            </w:r>
          </w:p>
        </w:tc>
      </w:tr>
      <w:tr>
        <w:tc>
          <w:tcPr>
            <w:tcW w:type="dxa" w:w="1474"/>
          </w:tcPr>
          <w:p>
            <w:r/>
            <w:r>
              <w:rPr>
                <w:b w:val="0"/>
                <w:i w:val="0"/>
                <w:sz w:val="15"/>
              </w:rPr>
              <w:t>Medibilidad del desempeño</w:t>
            </w:r>
          </w:p>
        </w:tc>
        <w:tc>
          <w:tcPr>
            <w:tcW w:type="dxa" w:w="680"/>
          </w:tcPr>
          <w:p>
            <w:r/>
            <w:r>
              <w:rPr>
                <w:b w:val="0"/>
                <w:i w:val="0"/>
                <w:sz w:val="15"/>
              </w:rPr>
              <w:t>20 %</w:t>
            </w:r>
          </w:p>
        </w:tc>
        <w:tc>
          <w:tcPr>
            <w:tcW w:type="dxa" w:w="454"/>
          </w:tcPr>
          <w:p>
            <w:r/>
            <w:r>
              <w:rPr>
                <w:b w:val="0"/>
                <w:i w:val="0"/>
                <w:sz w:val="15"/>
              </w:rPr>
              <w:t>4</w:t>
            </w:r>
          </w:p>
        </w:tc>
        <w:tc>
          <w:tcPr>
            <w:tcW w:type="dxa" w:w="3231"/>
          </w:tcPr>
          <w:p>
            <w:r/>
            <w:r>
              <w:rPr>
                <w:b w:val="0"/>
                <w:i w:val="0"/>
                <w:sz w:val="15"/>
              </w:rPr>
              <w:t>El tiempo promedio vs. línea base en simulador es objetivo, pero la medida SMART exige 2 semanas de operación real, que no es replicable y debe reformularse.</w:t>
            </w:r>
          </w:p>
        </w:tc>
        <w:tc>
          <w:tcPr>
            <w:tcW w:type="dxa" w:w="454"/>
          </w:tcPr>
          <w:p>
            <w:r/>
            <w:r>
              <w:rPr>
                <w:b w:val="0"/>
                <w:i w:val="0"/>
                <w:sz w:val="15"/>
              </w:rPr>
              <w:t>5</w:t>
            </w:r>
          </w:p>
        </w:tc>
        <w:tc>
          <w:tcPr>
            <w:tcW w:type="dxa" w:w="3345"/>
          </w:tcPr>
          <w:p>
            <w:r/>
            <w:r>
              <w:rPr>
                <w:b w:val="0"/>
                <w:i w:val="0"/>
                <w:sz w:val="15"/>
              </w:rPr>
              <w:t>La medida SMART (precisión general ≥ 75 % = aciertos / predicciones) ya tiene fórmula y umbral, y se calcula sobre datos de prueba no usados en entrenamiento.</w:t>
            </w:r>
          </w:p>
        </w:tc>
      </w:tr>
      <w:tr>
        <w:tc>
          <w:tcPr>
            <w:tcW w:type="dxa" w:w="1474"/>
            <w:shd w:val="clear" w:color="auto" w:fill="EEF2F7"/>
          </w:tcPr>
          <w:p>
            <w:r/>
            <w:r>
              <w:rPr>
                <w:b w:val="0"/>
                <w:i w:val="0"/>
                <w:sz w:val="15"/>
              </w:rPr>
              <w:t>Complejidad de IA</w:t>
            </w:r>
          </w:p>
        </w:tc>
        <w:tc>
          <w:tcPr>
            <w:tcW w:type="dxa" w:w="680"/>
            <w:shd w:val="clear" w:color="auto" w:fill="EEF2F7"/>
          </w:tcPr>
          <w:p>
            <w:r/>
            <w:r>
              <w:rPr>
                <w:b w:val="0"/>
                <w:i w:val="0"/>
                <w:sz w:val="15"/>
              </w:rPr>
              <w:t>15 %</w:t>
            </w:r>
          </w:p>
        </w:tc>
        <w:tc>
          <w:tcPr>
            <w:tcW w:type="dxa" w:w="454"/>
            <w:shd w:val="clear" w:color="auto" w:fill="EEF2F7"/>
          </w:tcPr>
          <w:p>
            <w:r/>
            <w:r>
              <w:rPr>
                <w:b w:val="0"/>
                <w:i w:val="0"/>
                <w:sz w:val="15"/>
              </w:rPr>
              <w:t>5</w:t>
            </w:r>
          </w:p>
        </w:tc>
        <w:tc>
          <w:tcPr>
            <w:tcW w:type="dxa" w:w="3231"/>
            <w:shd w:val="clear" w:color="auto" w:fill="EEF2F7"/>
          </w:tcPr>
          <w:p>
            <w:r/>
            <w:r>
              <w:rPr>
                <w:b w:val="0"/>
                <w:i w:val="0"/>
                <w:sz w:val="15"/>
              </w:rPr>
              <w:t>Agente de aprendizaje con elemento de desempeño basado en utilidad, ambiente multiagente y secuencial (Russell y Norvig).</w:t>
            </w:r>
          </w:p>
        </w:tc>
        <w:tc>
          <w:tcPr>
            <w:tcW w:type="dxa" w:w="454"/>
            <w:shd w:val="clear" w:color="auto" w:fill="EEF2F7"/>
          </w:tcPr>
          <w:p>
            <w:r/>
            <w:r>
              <w:rPr>
                <w:b w:val="0"/>
                <w:i w:val="0"/>
                <w:sz w:val="15"/>
              </w:rPr>
              <w:t>3</w:t>
            </w:r>
          </w:p>
        </w:tc>
        <w:tc>
          <w:tcPr>
            <w:tcW w:type="dxa" w:w="3345"/>
            <w:shd w:val="clear" w:color="auto" w:fill="EEF2F7"/>
          </w:tcPr>
          <w:p>
            <w:r/>
            <w:r>
              <w:rPr>
                <w:b w:val="0"/>
                <w:i w:val="0"/>
                <w:sz w:val="15"/>
              </w:rPr>
              <w:t>Agente de aprendizaje con estado interno por usuario, pero la decisión es clasificación supervisada + regla de umbral; menos razonamiento secuencial.</w:t>
            </w:r>
          </w:p>
        </w:tc>
      </w:tr>
      <w:tr>
        <w:tc>
          <w:tcPr>
            <w:tcW w:type="dxa" w:w="1474"/>
          </w:tcPr>
          <w:p>
            <w:r/>
            <w:r>
              <w:rPr>
                <w:b w:val="0"/>
                <w:i w:val="0"/>
                <w:sz w:val="15"/>
              </w:rPr>
              <w:t>Costo y recursos</w:t>
            </w:r>
          </w:p>
        </w:tc>
        <w:tc>
          <w:tcPr>
            <w:tcW w:type="dxa" w:w="680"/>
          </w:tcPr>
          <w:p>
            <w:r/>
            <w:r>
              <w:rPr>
                <w:b w:val="0"/>
                <w:i w:val="0"/>
                <w:sz w:val="15"/>
              </w:rPr>
              <w:t>10 %</w:t>
            </w:r>
          </w:p>
        </w:tc>
        <w:tc>
          <w:tcPr>
            <w:tcW w:type="dxa" w:w="454"/>
          </w:tcPr>
          <w:p>
            <w:r/>
            <w:r>
              <w:rPr>
                <w:b w:val="0"/>
                <w:i w:val="0"/>
                <w:sz w:val="15"/>
              </w:rPr>
              <w:t>5</w:t>
            </w:r>
          </w:p>
        </w:tc>
        <w:tc>
          <w:tcPr>
            <w:tcW w:type="dxa" w:w="3231"/>
          </w:tcPr>
          <w:p>
            <w:r/>
            <w:r>
              <w:rPr>
                <w:b w:val="0"/>
                <w:i w:val="0"/>
                <w:sz w:val="15"/>
              </w:rPr>
              <w:t>Todo corre local en Python con librerías libres; costo estimado COP 0 y sin llamadas a APIs pagas.</w:t>
            </w:r>
          </w:p>
        </w:tc>
        <w:tc>
          <w:tcPr>
            <w:tcW w:type="dxa" w:w="454"/>
          </w:tcPr>
          <w:p>
            <w:r/>
            <w:r>
              <w:rPr>
                <w:b w:val="0"/>
                <w:i w:val="0"/>
                <w:sz w:val="15"/>
              </w:rPr>
              <w:t>5</w:t>
            </w:r>
          </w:p>
        </w:tc>
        <w:tc>
          <w:tcPr>
            <w:tcW w:type="dxa" w:w="3345"/>
          </w:tcPr>
          <w:p>
            <w:r/>
            <w:r>
              <w:rPr>
                <w:b w:val="0"/>
                <w:i w:val="0"/>
                <w:sz w:val="15"/>
              </w:rPr>
              <w:t>Todo corre local en Python con librerías libres; la API de marketing es un simulador; costo estimado COP 0.</w:t>
            </w:r>
          </w:p>
        </w:tc>
      </w:tr>
      <w:tr>
        <w:tc>
          <w:tcPr>
            <w:tcW w:type="dxa" w:w="1474"/>
            <w:shd w:val="clear" w:color="auto" w:fill="EEF2F7"/>
          </w:tcPr>
          <w:p>
            <w:r/>
            <w:r>
              <w:rPr>
                <w:b w:val="0"/>
                <w:i w:val="0"/>
                <w:sz w:val="15"/>
              </w:rPr>
              <w:t>Valor del problema</w:t>
            </w:r>
          </w:p>
        </w:tc>
        <w:tc>
          <w:tcPr>
            <w:tcW w:type="dxa" w:w="680"/>
            <w:shd w:val="clear" w:color="auto" w:fill="EEF2F7"/>
          </w:tcPr>
          <w:p>
            <w:r/>
            <w:r>
              <w:rPr>
                <w:b w:val="0"/>
                <w:i w:val="0"/>
                <w:sz w:val="15"/>
              </w:rPr>
              <w:t>10 %</w:t>
            </w:r>
          </w:p>
        </w:tc>
        <w:tc>
          <w:tcPr>
            <w:tcW w:type="dxa" w:w="454"/>
            <w:shd w:val="clear" w:color="auto" w:fill="EEF2F7"/>
          </w:tcPr>
          <w:p>
            <w:r/>
            <w:r>
              <w:rPr>
                <w:b w:val="0"/>
                <w:i w:val="0"/>
                <w:sz w:val="15"/>
              </w:rPr>
              <w:t>4</w:t>
            </w:r>
          </w:p>
        </w:tc>
        <w:tc>
          <w:tcPr>
            <w:tcW w:type="dxa" w:w="3231"/>
            <w:shd w:val="clear" w:color="auto" w:fill="EEF2F7"/>
          </w:tcPr>
          <w:p>
            <w:r/>
            <w:r>
              <w:rPr>
                <w:b w:val="0"/>
                <w:i w:val="0"/>
                <w:sz w:val="15"/>
              </w:rPr>
              <w:t>Usuario: supervisor de bodega; beneficio: menos tiempo de preparación y desplazamiento (meta de −20 %).</w:t>
            </w:r>
          </w:p>
        </w:tc>
        <w:tc>
          <w:tcPr>
            <w:tcW w:type="dxa" w:w="454"/>
            <w:shd w:val="clear" w:color="auto" w:fill="EEF2F7"/>
          </w:tcPr>
          <w:p>
            <w:r/>
            <w:r>
              <w:rPr>
                <w:b w:val="0"/>
                <w:i w:val="0"/>
                <w:sz w:val="15"/>
              </w:rPr>
              <w:t>4</w:t>
            </w:r>
          </w:p>
        </w:tc>
        <w:tc>
          <w:tcPr>
            <w:tcW w:type="dxa" w:w="3345"/>
            <w:shd w:val="clear" w:color="auto" w:fill="EEF2F7"/>
          </w:tcPr>
          <w:p>
            <w:r/>
            <w:r>
              <w:rPr>
                <w:b w:val="0"/>
                <w:i w:val="0"/>
                <w:sz w:val="15"/>
              </w:rPr>
              <w:t>Usuario: analista de retención; beneficio: anticipar cancelaciones a 4 semanas y proteger ingreso recurrente.</w:t>
            </w:r>
          </w:p>
        </w:tc>
      </w:tr>
      <w:tr>
        <w:tc>
          <w:tcPr>
            <w:tcW w:type="dxa" w:w="1474"/>
          </w:tcPr>
          <w:p>
            <w:r/>
            <w:r>
              <w:rPr>
                <w:b/>
                <w:i w:val="0"/>
                <w:sz w:val="15"/>
              </w:rPr>
              <w:t>Puntaje ponderado S</w:t>
            </w:r>
          </w:p>
        </w:tc>
        <w:tc>
          <w:tcPr>
            <w:tcW w:type="dxa" w:w="680"/>
          </w:tcPr>
          <w:p>
            <w:r/>
            <w:r>
              <w:rPr>
                <w:b w:val="0"/>
                <w:i w:val="0"/>
                <w:sz w:val="15"/>
              </w:rPr>
              <w:t>100 %</w:t>
            </w:r>
          </w:p>
        </w:tc>
        <w:tc>
          <w:tcPr>
            <w:tcW w:type="dxa" w:w="454"/>
          </w:tcPr>
          <w:p>
            <w:r/>
            <w:r>
              <w:rPr>
                <w:b/>
                <w:i w:val="0"/>
                <w:sz w:val="15"/>
              </w:rPr>
              <w:t>3,80</w:t>
            </w:r>
          </w:p>
        </w:tc>
        <w:tc>
          <w:tcPr>
            <w:tcW w:type="dxa" w:w="3231"/>
          </w:tcPr>
          <w:p>
            <w:r/>
          </w:p>
        </w:tc>
        <w:tc>
          <w:tcPr>
            <w:tcW w:type="dxa" w:w="454"/>
          </w:tcPr>
          <w:p>
            <w:r/>
            <w:r>
              <w:rPr>
                <w:b/>
                <w:i w:val="0"/>
                <w:sz w:val="15"/>
              </w:rPr>
              <w:t>4,40</w:t>
            </w:r>
          </w:p>
        </w:tc>
        <w:tc>
          <w:tcPr>
            <w:tcW w:type="dxa" w:w="3345"/>
          </w:tcPr>
          <w:p>
            <w:r/>
          </w:p>
        </w:tc>
      </w:tr>
    </w:tbl>
    <w:p>
      <w:pPr>
        <w:spacing w:after="40"/>
      </w:pPr>
    </w:p>
    <w:p>
      <w:pPr>
        <w:jc w:val="both"/>
      </w:pPr>
      <w:r>
        <w:rPr>
          <w:b w:val="0"/>
          <w:i w:val="0"/>
        </w:rPr>
        <w:t xml:space="preserve">Como muestra la Tabla 2, StreamRetain-Agent obtiene </w:t>
      </w:r>
      <w:r>
        <w:rPr>
          <w:b/>
          <w:i w:val="0"/>
        </w:rPr>
        <w:t>S = 4,40</w:t>
      </w:r>
      <w:r>
        <w:rPr>
          <w:b w:val="0"/>
          <w:i w:val="0"/>
        </w:rPr>
        <w:t xml:space="preserve"> frente a 3,80 de PickFlow-Agent. Gana en los tres criterios de mayor peso: viabilidad técnica, disponibilidad del entorno y medibilidad. PickFlow solo gana en complejidad de IA, y en costo y valor del problema empatan.</w:t>
      </w:r>
    </w:p>
    <w:p>
      <w:pPr>
        <w:keepNext/>
        <w:spacing w:after="40"/>
      </w:pPr>
      <w:r>
        <w:rPr>
          <w:b/>
          <w:sz w:val="19"/>
        </w:rPr>
        <w:t xml:space="preserve">Tabla 3. </w:t>
      </w:r>
      <w:r>
        <w:rPr>
          <w:b w:val="0"/>
          <w:i w:val="0"/>
          <w:sz w:val="19"/>
        </w:rPr>
        <w:t>Análisis de sensibilidad: cada peso ± 10 puntos y el resto reajustado en proporción.</w:t>
      </w:r>
    </w:p>
    <w:tbl>
      <w:tblPr>
        <w:tblStyle w:val="TableGrid"/>
        <w:tblW w:type="auto" w:w="0"/>
        <w:jc w:val="center"/>
        <w:tblLook w:firstColumn="1" w:firstRow="1" w:lastColumn="0" w:lastRow="0" w:noHBand="0" w:noVBand="1" w:val="04A0"/>
      </w:tblPr>
      <w:tblGrid>
        <w:gridCol w:w="1926"/>
        <w:gridCol w:w="1926"/>
        <w:gridCol w:w="1926"/>
        <w:gridCol w:w="1926"/>
        <w:gridCol w:w="1926"/>
      </w:tblGrid>
      <w:tr>
        <w:trPr>
          <w:tblHeader w:val="true"/>
        </w:trPr>
        <w:tc>
          <w:tcPr>
            <w:tcW w:type="dxa" w:w="3118"/>
            <w:shd w:val="clear" w:color="auto" w:fill="1F3A5F"/>
          </w:tcPr>
          <w:p>
            <w:r/>
            <w:r>
              <w:rPr>
                <w:b/>
                <w:i w:val="0"/>
                <w:color w:val="FFFFFF"/>
                <w:sz w:val="16"/>
              </w:rPr>
              <w:t>Criterio</w:t>
            </w:r>
          </w:p>
        </w:tc>
        <w:tc>
          <w:tcPr>
            <w:tcW w:type="dxa" w:w="1984"/>
            <w:shd w:val="clear" w:color="auto" w:fill="1F3A5F"/>
          </w:tcPr>
          <w:p>
            <w:r/>
            <w:r>
              <w:rPr>
                <w:b/>
                <w:i w:val="0"/>
                <w:color w:val="FFFFFF"/>
                <w:sz w:val="16"/>
              </w:rPr>
              <w:t>Peso original → nuevo</w:t>
            </w:r>
          </w:p>
        </w:tc>
        <w:tc>
          <w:tcPr>
            <w:tcW w:type="dxa" w:w="1134"/>
            <w:shd w:val="clear" w:color="auto" w:fill="1F3A5F"/>
          </w:tcPr>
          <w:p>
            <w:r/>
            <w:r>
              <w:rPr>
                <w:b/>
                <w:i w:val="0"/>
                <w:color w:val="FFFFFF"/>
                <w:sz w:val="16"/>
              </w:rPr>
              <w:t>S(A)</w:t>
            </w:r>
          </w:p>
        </w:tc>
        <w:tc>
          <w:tcPr>
            <w:tcW w:type="dxa" w:w="1134"/>
            <w:shd w:val="clear" w:color="auto" w:fill="1F3A5F"/>
          </w:tcPr>
          <w:p>
            <w:r/>
            <w:r>
              <w:rPr>
                <w:b/>
                <w:i w:val="0"/>
                <w:color w:val="FFFFFF"/>
                <w:sz w:val="16"/>
              </w:rPr>
              <w:t>S(B)</w:t>
            </w:r>
          </w:p>
        </w:tc>
        <w:tc>
          <w:tcPr>
            <w:tcW w:type="dxa" w:w="850"/>
            <w:shd w:val="clear" w:color="auto" w:fill="1F3A5F"/>
          </w:tcPr>
          <w:p>
            <w:r/>
            <w:r>
              <w:rPr>
                <w:b/>
                <w:i w:val="0"/>
                <w:color w:val="FFFFFF"/>
                <w:sz w:val="16"/>
              </w:rPr>
              <w:t>Gana</w:t>
            </w:r>
          </w:p>
        </w:tc>
      </w:tr>
      <w:tr>
        <w:tc>
          <w:tcPr>
            <w:tcW w:type="dxa" w:w="3118"/>
          </w:tcPr>
          <w:p>
            <w:r/>
            <w:r>
              <w:rPr>
                <w:b w:val="0"/>
                <w:i w:val="0"/>
                <w:sz w:val="16"/>
              </w:rPr>
              <w:t>Viabilidad técnica (más influyente)</w:t>
            </w:r>
          </w:p>
        </w:tc>
        <w:tc>
          <w:tcPr>
            <w:tcW w:type="dxa" w:w="1984"/>
          </w:tcPr>
          <w:p>
            <w:r/>
            <w:r>
              <w:rPr>
                <w:b w:val="0"/>
                <w:i w:val="0"/>
                <w:sz w:val="16"/>
              </w:rPr>
              <w:t>25 % → 15 %</w:t>
            </w:r>
          </w:p>
        </w:tc>
        <w:tc>
          <w:tcPr>
            <w:tcW w:type="dxa" w:w="1134"/>
          </w:tcPr>
          <w:p>
            <w:r/>
            <w:r>
              <w:rPr>
                <w:b w:val="0"/>
                <w:i w:val="0"/>
                <w:sz w:val="16"/>
              </w:rPr>
              <w:t>3,91</w:t>
            </w:r>
          </w:p>
        </w:tc>
        <w:tc>
          <w:tcPr>
            <w:tcW w:type="dxa" w:w="1134"/>
          </w:tcPr>
          <w:p>
            <w:r/>
            <w:r>
              <w:rPr>
                <w:b w:val="0"/>
                <w:i w:val="0"/>
                <w:sz w:val="16"/>
              </w:rPr>
              <w:t>4,32</w:t>
            </w:r>
          </w:p>
        </w:tc>
        <w:tc>
          <w:tcPr>
            <w:tcW w:type="dxa" w:w="850"/>
          </w:tcPr>
          <w:p>
            <w:r/>
            <w:r>
              <w:rPr>
                <w:b w:val="0"/>
                <w:i w:val="0"/>
                <w:sz w:val="16"/>
              </w:rPr>
              <w:t>B</w:t>
            </w:r>
          </w:p>
        </w:tc>
      </w:tr>
      <w:tr>
        <w:tc>
          <w:tcPr>
            <w:tcW w:type="dxa" w:w="3118"/>
            <w:shd w:val="clear" w:color="auto" w:fill="EEF2F7"/>
          </w:tcPr>
          <w:p>
            <w:r/>
            <w:r>
              <w:rPr>
                <w:b w:val="0"/>
                <w:i w:val="0"/>
                <w:sz w:val="16"/>
              </w:rPr>
              <w:t>Viabilidad técnica (más influyente)</w:t>
            </w:r>
          </w:p>
        </w:tc>
        <w:tc>
          <w:tcPr>
            <w:tcW w:type="dxa" w:w="1984"/>
            <w:shd w:val="clear" w:color="auto" w:fill="EEF2F7"/>
          </w:tcPr>
          <w:p>
            <w:r/>
            <w:r>
              <w:rPr>
                <w:b w:val="0"/>
                <w:i w:val="0"/>
                <w:sz w:val="16"/>
              </w:rPr>
              <w:t>25 % → 35 %</w:t>
            </w:r>
          </w:p>
        </w:tc>
        <w:tc>
          <w:tcPr>
            <w:tcW w:type="dxa" w:w="1134"/>
            <w:shd w:val="clear" w:color="auto" w:fill="EEF2F7"/>
          </w:tcPr>
          <w:p>
            <w:r/>
            <w:r>
              <w:rPr>
                <w:b w:val="0"/>
                <w:i w:val="0"/>
                <w:sz w:val="16"/>
              </w:rPr>
              <w:t>3,69</w:t>
            </w:r>
          </w:p>
        </w:tc>
        <w:tc>
          <w:tcPr>
            <w:tcW w:type="dxa" w:w="1134"/>
            <w:shd w:val="clear" w:color="auto" w:fill="EEF2F7"/>
          </w:tcPr>
          <w:p>
            <w:r/>
            <w:r>
              <w:rPr>
                <w:b w:val="0"/>
                <w:i w:val="0"/>
                <w:sz w:val="16"/>
              </w:rPr>
              <w:t>4,48</w:t>
            </w:r>
          </w:p>
        </w:tc>
        <w:tc>
          <w:tcPr>
            <w:tcW w:type="dxa" w:w="850"/>
            <w:shd w:val="clear" w:color="auto" w:fill="EEF2F7"/>
          </w:tcPr>
          <w:p>
            <w:r/>
            <w:r>
              <w:rPr>
                <w:b w:val="0"/>
                <w:i w:val="0"/>
                <w:sz w:val="16"/>
              </w:rPr>
              <w:t>B</w:t>
            </w:r>
          </w:p>
        </w:tc>
      </w:tr>
      <w:tr>
        <w:tc>
          <w:tcPr>
            <w:tcW w:type="dxa" w:w="3118"/>
          </w:tcPr>
          <w:p>
            <w:r/>
            <w:r>
              <w:rPr>
                <w:b w:val="0"/>
                <w:i w:val="0"/>
                <w:sz w:val="16"/>
              </w:rPr>
              <w:t>Disponibilidad de datos o entorno</w:t>
            </w:r>
          </w:p>
        </w:tc>
        <w:tc>
          <w:tcPr>
            <w:tcW w:type="dxa" w:w="1984"/>
          </w:tcPr>
          <w:p>
            <w:r/>
            <w:r>
              <w:rPr>
                <w:b w:val="0"/>
                <w:i w:val="0"/>
                <w:sz w:val="16"/>
              </w:rPr>
              <w:t>20 % → 10 %</w:t>
            </w:r>
          </w:p>
        </w:tc>
        <w:tc>
          <w:tcPr>
            <w:tcW w:type="dxa" w:w="1134"/>
          </w:tcPr>
          <w:p>
            <w:r/>
            <w:r>
              <w:rPr>
                <w:b w:val="0"/>
                <w:i w:val="0"/>
                <w:sz w:val="16"/>
              </w:rPr>
              <w:t>3,90</w:t>
            </w:r>
          </w:p>
        </w:tc>
        <w:tc>
          <w:tcPr>
            <w:tcW w:type="dxa" w:w="1134"/>
          </w:tcPr>
          <w:p>
            <w:r/>
            <w:r>
              <w:rPr>
                <w:b w:val="0"/>
                <w:i w:val="0"/>
                <w:sz w:val="16"/>
              </w:rPr>
              <w:t>4,45</w:t>
            </w:r>
          </w:p>
        </w:tc>
        <w:tc>
          <w:tcPr>
            <w:tcW w:type="dxa" w:w="850"/>
          </w:tcPr>
          <w:p>
            <w:r/>
            <w:r>
              <w:rPr>
                <w:b w:val="0"/>
                <w:i w:val="0"/>
                <w:sz w:val="16"/>
              </w:rPr>
              <w:t>B</w:t>
            </w:r>
          </w:p>
        </w:tc>
      </w:tr>
      <w:tr>
        <w:tc>
          <w:tcPr>
            <w:tcW w:type="dxa" w:w="3118"/>
            <w:shd w:val="clear" w:color="auto" w:fill="EEF2F7"/>
          </w:tcPr>
          <w:p>
            <w:r/>
            <w:r>
              <w:rPr>
                <w:b w:val="0"/>
                <w:i w:val="0"/>
                <w:sz w:val="16"/>
              </w:rPr>
              <w:t>Disponibilidad de datos o entorno</w:t>
            </w:r>
          </w:p>
        </w:tc>
        <w:tc>
          <w:tcPr>
            <w:tcW w:type="dxa" w:w="1984"/>
            <w:shd w:val="clear" w:color="auto" w:fill="EEF2F7"/>
          </w:tcPr>
          <w:p>
            <w:r/>
            <w:r>
              <w:rPr>
                <w:b w:val="0"/>
                <w:i w:val="0"/>
                <w:sz w:val="16"/>
              </w:rPr>
              <w:t>20 % → 30 %</w:t>
            </w:r>
          </w:p>
        </w:tc>
        <w:tc>
          <w:tcPr>
            <w:tcW w:type="dxa" w:w="1134"/>
            <w:shd w:val="clear" w:color="auto" w:fill="EEF2F7"/>
          </w:tcPr>
          <w:p>
            <w:r/>
            <w:r>
              <w:rPr>
                <w:b w:val="0"/>
                <w:i w:val="0"/>
                <w:sz w:val="16"/>
              </w:rPr>
              <w:t>3,70</w:t>
            </w:r>
          </w:p>
        </w:tc>
        <w:tc>
          <w:tcPr>
            <w:tcW w:type="dxa" w:w="1134"/>
            <w:shd w:val="clear" w:color="auto" w:fill="EEF2F7"/>
          </w:tcPr>
          <w:p>
            <w:r/>
            <w:r>
              <w:rPr>
                <w:b w:val="0"/>
                <w:i w:val="0"/>
                <w:sz w:val="16"/>
              </w:rPr>
              <w:t>4,35</w:t>
            </w:r>
          </w:p>
        </w:tc>
        <w:tc>
          <w:tcPr>
            <w:tcW w:type="dxa" w:w="850"/>
            <w:shd w:val="clear" w:color="auto" w:fill="EEF2F7"/>
          </w:tcPr>
          <w:p>
            <w:r/>
            <w:r>
              <w:rPr>
                <w:b w:val="0"/>
                <w:i w:val="0"/>
                <w:sz w:val="16"/>
              </w:rPr>
              <w:t>B</w:t>
            </w:r>
          </w:p>
        </w:tc>
      </w:tr>
      <w:tr>
        <w:tc>
          <w:tcPr>
            <w:tcW w:type="dxa" w:w="3118"/>
          </w:tcPr>
          <w:p>
            <w:r/>
            <w:r>
              <w:rPr>
                <w:b w:val="0"/>
                <w:i w:val="0"/>
                <w:sz w:val="16"/>
              </w:rPr>
              <w:t>Medibilidad del desempeño</w:t>
            </w:r>
          </w:p>
        </w:tc>
        <w:tc>
          <w:tcPr>
            <w:tcW w:type="dxa" w:w="1984"/>
          </w:tcPr>
          <w:p>
            <w:r/>
            <w:r>
              <w:rPr>
                <w:b w:val="0"/>
                <w:i w:val="0"/>
                <w:sz w:val="16"/>
              </w:rPr>
              <w:t>20 % → 10 %</w:t>
            </w:r>
          </w:p>
        </w:tc>
        <w:tc>
          <w:tcPr>
            <w:tcW w:type="dxa" w:w="1134"/>
          </w:tcPr>
          <w:p>
            <w:r/>
            <w:r>
              <w:rPr>
                <w:b w:val="0"/>
                <w:i w:val="0"/>
                <w:sz w:val="16"/>
              </w:rPr>
              <w:t>3,77</w:t>
            </w:r>
          </w:p>
        </w:tc>
        <w:tc>
          <w:tcPr>
            <w:tcW w:type="dxa" w:w="1134"/>
          </w:tcPr>
          <w:p>
            <w:r/>
            <w:r>
              <w:rPr>
                <w:b w:val="0"/>
                <w:i w:val="0"/>
                <w:sz w:val="16"/>
              </w:rPr>
              <w:t>4,33</w:t>
            </w:r>
          </w:p>
        </w:tc>
        <w:tc>
          <w:tcPr>
            <w:tcW w:type="dxa" w:w="850"/>
          </w:tcPr>
          <w:p>
            <w:r/>
            <w:r>
              <w:rPr>
                <w:b w:val="0"/>
                <w:i w:val="0"/>
                <w:sz w:val="16"/>
              </w:rPr>
              <w:t>B</w:t>
            </w:r>
          </w:p>
        </w:tc>
      </w:tr>
      <w:tr>
        <w:tc>
          <w:tcPr>
            <w:tcW w:type="dxa" w:w="3118"/>
            <w:shd w:val="clear" w:color="auto" w:fill="EEF2F7"/>
          </w:tcPr>
          <w:p>
            <w:r/>
            <w:r>
              <w:rPr>
                <w:b w:val="0"/>
                <w:i w:val="0"/>
                <w:sz w:val="16"/>
              </w:rPr>
              <w:t>Medibilidad del desempeño</w:t>
            </w:r>
          </w:p>
        </w:tc>
        <w:tc>
          <w:tcPr>
            <w:tcW w:type="dxa" w:w="1984"/>
            <w:shd w:val="clear" w:color="auto" w:fill="EEF2F7"/>
          </w:tcPr>
          <w:p>
            <w:r/>
            <w:r>
              <w:rPr>
                <w:b w:val="0"/>
                <w:i w:val="0"/>
                <w:sz w:val="16"/>
              </w:rPr>
              <w:t>20 % → 30 %</w:t>
            </w:r>
          </w:p>
        </w:tc>
        <w:tc>
          <w:tcPr>
            <w:tcW w:type="dxa" w:w="1134"/>
            <w:shd w:val="clear" w:color="auto" w:fill="EEF2F7"/>
          </w:tcPr>
          <w:p>
            <w:r/>
            <w:r>
              <w:rPr>
                <w:b w:val="0"/>
                <w:i w:val="0"/>
                <w:sz w:val="16"/>
              </w:rPr>
              <w:t>3,83</w:t>
            </w:r>
          </w:p>
        </w:tc>
        <w:tc>
          <w:tcPr>
            <w:tcW w:type="dxa" w:w="1134"/>
            <w:shd w:val="clear" w:color="auto" w:fill="EEF2F7"/>
          </w:tcPr>
          <w:p>
            <w:r/>
            <w:r>
              <w:rPr>
                <w:b w:val="0"/>
                <w:i w:val="0"/>
                <w:sz w:val="16"/>
              </w:rPr>
              <w:t>4,47</w:t>
            </w:r>
          </w:p>
        </w:tc>
        <w:tc>
          <w:tcPr>
            <w:tcW w:type="dxa" w:w="850"/>
            <w:shd w:val="clear" w:color="auto" w:fill="EEF2F7"/>
          </w:tcPr>
          <w:p>
            <w:r/>
            <w:r>
              <w:rPr>
                <w:b w:val="0"/>
                <w:i w:val="0"/>
                <w:sz w:val="16"/>
              </w:rPr>
              <w:t>B</w:t>
            </w:r>
          </w:p>
        </w:tc>
      </w:tr>
      <w:tr>
        <w:tc>
          <w:tcPr>
            <w:tcW w:type="dxa" w:w="3118"/>
          </w:tcPr>
          <w:p>
            <w:r/>
            <w:r>
              <w:rPr>
                <w:b w:val="0"/>
                <w:i w:val="0"/>
                <w:sz w:val="16"/>
              </w:rPr>
              <w:t>Complejidad de IA</w:t>
            </w:r>
          </w:p>
        </w:tc>
        <w:tc>
          <w:tcPr>
            <w:tcW w:type="dxa" w:w="1984"/>
          </w:tcPr>
          <w:p>
            <w:r/>
            <w:r>
              <w:rPr>
                <w:b w:val="0"/>
                <w:i w:val="0"/>
                <w:sz w:val="16"/>
              </w:rPr>
              <w:t>15 % → 5 %</w:t>
            </w:r>
          </w:p>
        </w:tc>
        <w:tc>
          <w:tcPr>
            <w:tcW w:type="dxa" w:w="1134"/>
          </w:tcPr>
          <w:p>
            <w:r/>
            <w:r>
              <w:rPr>
                <w:b w:val="0"/>
                <w:i w:val="0"/>
                <w:sz w:val="16"/>
              </w:rPr>
              <w:t>3,66</w:t>
            </w:r>
          </w:p>
        </w:tc>
        <w:tc>
          <w:tcPr>
            <w:tcW w:type="dxa" w:w="1134"/>
          </w:tcPr>
          <w:p>
            <w:r/>
            <w:r>
              <w:rPr>
                <w:b w:val="0"/>
                <w:i w:val="0"/>
                <w:sz w:val="16"/>
              </w:rPr>
              <w:t>4,56</w:t>
            </w:r>
          </w:p>
        </w:tc>
        <w:tc>
          <w:tcPr>
            <w:tcW w:type="dxa" w:w="850"/>
          </w:tcPr>
          <w:p>
            <w:r/>
            <w:r>
              <w:rPr>
                <w:b w:val="0"/>
                <w:i w:val="0"/>
                <w:sz w:val="16"/>
              </w:rPr>
              <w:t>B</w:t>
            </w:r>
          </w:p>
        </w:tc>
      </w:tr>
      <w:tr>
        <w:tc>
          <w:tcPr>
            <w:tcW w:type="dxa" w:w="3118"/>
            <w:shd w:val="clear" w:color="auto" w:fill="EEF2F7"/>
          </w:tcPr>
          <w:p>
            <w:r/>
            <w:r>
              <w:rPr>
                <w:b w:val="0"/>
                <w:i w:val="0"/>
                <w:sz w:val="16"/>
              </w:rPr>
              <w:t>Complejidad de IA</w:t>
            </w:r>
          </w:p>
        </w:tc>
        <w:tc>
          <w:tcPr>
            <w:tcW w:type="dxa" w:w="1984"/>
            <w:shd w:val="clear" w:color="auto" w:fill="EEF2F7"/>
          </w:tcPr>
          <w:p>
            <w:r/>
            <w:r>
              <w:rPr>
                <w:b w:val="0"/>
                <w:i w:val="0"/>
                <w:sz w:val="16"/>
              </w:rPr>
              <w:t>15 % → 25 %</w:t>
            </w:r>
          </w:p>
        </w:tc>
        <w:tc>
          <w:tcPr>
            <w:tcW w:type="dxa" w:w="1134"/>
            <w:shd w:val="clear" w:color="auto" w:fill="EEF2F7"/>
          </w:tcPr>
          <w:p>
            <w:r/>
            <w:r>
              <w:rPr>
                <w:b w:val="0"/>
                <w:i w:val="0"/>
                <w:sz w:val="16"/>
              </w:rPr>
              <w:t>3,94</w:t>
            </w:r>
          </w:p>
        </w:tc>
        <w:tc>
          <w:tcPr>
            <w:tcW w:type="dxa" w:w="1134"/>
            <w:shd w:val="clear" w:color="auto" w:fill="EEF2F7"/>
          </w:tcPr>
          <w:p>
            <w:r/>
            <w:r>
              <w:rPr>
                <w:b w:val="0"/>
                <w:i w:val="0"/>
                <w:sz w:val="16"/>
              </w:rPr>
              <w:t>4,24</w:t>
            </w:r>
          </w:p>
        </w:tc>
        <w:tc>
          <w:tcPr>
            <w:tcW w:type="dxa" w:w="850"/>
            <w:shd w:val="clear" w:color="auto" w:fill="EEF2F7"/>
          </w:tcPr>
          <w:p>
            <w:r/>
            <w:r>
              <w:rPr>
                <w:b w:val="0"/>
                <w:i w:val="0"/>
                <w:sz w:val="16"/>
              </w:rPr>
              <w:t>B</w:t>
            </w:r>
          </w:p>
        </w:tc>
      </w:tr>
      <w:tr>
        <w:tc>
          <w:tcPr>
            <w:tcW w:type="dxa" w:w="3118"/>
          </w:tcPr>
          <w:p>
            <w:r/>
            <w:r>
              <w:rPr>
                <w:b w:val="0"/>
                <w:i w:val="0"/>
                <w:sz w:val="16"/>
              </w:rPr>
              <w:t>Costo y recursos</w:t>
            </w:r>
          </w:p>
        </w:tc>
        <w:tc>
          <w:tcPr>
            <w:tcW w:type="dxa" w:w="1984"/>
          </w:tcPr>
          <w:p>
            <w:r/>
            <w:r>
              <w:rPr>
                <w:b w:val="0"/>
                <w:i w:val="0"/>
                <w:sz w:val="16"/>
              </w:rPr>
              <w:t>10 % → 0 %</w:t>
            </w:r>
          </w:p>
        </w:tc>
        <w:tc>
          <w:tcPr>
            <w:tcW w:type="dxa" w:w="1134"/>
          </w:tcPr>
          <w:p>
            <w:r/>
            <w:r>
              <w:rPr>
                <w:b w:val="0"/>
                <w:i w:val="0"/>
                <w:sz w:val="16"/>
              </w:rPr>
              <w:t>3,67</w:t>
            </w:r>
          </w:p>
        </w:tc>
        <w:tc>
          <w:tcPr>
            <w:tcW w:type="dxa" w:w="1134"/>
          </w:tcPr>
          <w:p>
            <w:r/>
            <w:r>
              <w:rPr>
                <w:b w:val="0"/>
                <w:i w:val="0"/>
                <w:sz w:val="16"/>
              </w:rPr>
              <w:t>4,33</w:t>
            </w:r>
          </w:p>
        </w:tc>
        <w:tc>
          <w:tcPr>
            <w:tcW w:type="dxa" w:w="850"/>
          </w:tcPr>
          <w:p>
            <w:r/>
            <w:r>
              <w:rPr>
                <w:b w:val="0"/>
                <w:i w:val="0"/>
                <w:sz w:val="16"/>
              </w:rPr>
              <w:t>B</w:t>
            </w:r>
          </w:p>
        </w:tc>
      </w:tr>
      <w:tr>
        <w:tc>
          <w:tcPr>
            <w:tcW w:type="dxa" w:w="3118"/>
            <w:shd w:val="clear" w:color="auto" w:fill="EEF2F7"/>
          </w:tcPr>
          <w:p>
            <w:r/>
            <w:r>
              <w:rPr>
                <w:b w:val="0"/>
                <w:i w:val="0"/>
                <w:sz w:val="16"/>
              </w:rPr>
              <w:t>Costo y recursos</w:t>
            </w:r>
          </w:p>
        </w:tc>
        <w:tc>
          <w:tcPr>
            <w:tcW w:type="dxa" w:w="1984"/>
            <w:shd w:val="clear" w:color="auto" w:fill="EEF2F7"/>
          </w:tcPr>
          <w:p>
            <w:r/>
            <w:r>
              <w:rPr>
                <w:b w:val="0"/>
                <w:i w:val="0"/>
                <w:sz w:val="16"/>
              </w:rPr>
              <w:t>10 % → 20 %</w:t>
            </w:r>
          </w:p>
        </w:tc>
        <w:tc>
          <w:tcPr>
            <w:tcW w:type="dxa" w:w="1134"/>
            <w:shd w:val="clear" w:color="auto" w:fill="EEF2F7"/>
          </w:tcPr>
          <w:p>
            <w:r/>
            <w:r>
              <w:rPr>
                <w:b w:val="0"/>
                <w:i w:val="0"/>
                <w:sz w:val="16"/>
              </w:rPr>
              <w:t>3,93</w:t>
            </w:r>
          </w:p>
        </w:tc>
        <w:tc>
          <w:tcPr>
            <w:tcW w:type="dxa" w:w="1134"/>
            <w:shd w:val="clear" w:color="auto" w:fill="EEF2F7"/>
          </w:tcPr>
          <w:p>
            <w:r/>
            <w:r>
              <w:rPr>
                <w:b w:val="0"/>
                <w:i w:val="0"/>
                <w:sz w:val="16"/>
              </w:rPr>
              <w:t>4,47</w:t>
            </w:r>
          </w:p>
        </w:tc>
        <w:tc>
          <w:tcPr>
            <w:tcW w:type="dxa" w:w="850"/>
            <w:shd w:val="clear" w:color="auto" w:fill="EEF2F7"/>
          </w:tcPr>
          <w:p>
            <w:r/>
            <w:r>
              <w:rPr>
                <w:b w:val="0"/>
                <w:i w:val="0"/>
                <w:sz w:val="16"/>
              </w:rPr>
              <w:t>B</w:t>
            </w:r>
          </w:p>
        </w:tc>
      </w:tr>
      <w:tr>
        <w:tc>
          <w:tcPr>
            <w:tcW w:type="dxa" w:w="3118"/>
          </w:tcPr>
          <w:p>
            <w:r/>
            <w:r>
              <w:rPr>
                <w:b w:val="0"/>
                <w:i w:val="0"/>
                <w:sz w:val="16"/>
              </w:rPr>
              <w:t>Valor del problema</w:t>
            </w:r>
          </w:p>
        </w:tc>
        <w:tc>
          <w:tcPr>
            <w:tcW w:type="dxa" w:w="1984"/>
          </w:tcPr>
          <w:p>
            <w:r/>
            <w:r>
              <w:rPr>
                <w:b w:val="0"/>
                <w:i w:val="0"/>
                <w:sz w:val="16"/>
              </w:rPr>
              <w:t>10 % → 0 %</w:t>
            </w:r>
          </w:p>
        </w:tc>
        <w:tc>
          <w:tcPr>
            <w:tcW w:type="dxa" w:w="1134"/>
          </w:tcPr>
          <w:p>
            <w:r/>
            <w:r>
              <w:rPr>
                <w:b w:val="0"/>
                <w:i w:val="0"/>
                <w:sz w:val="16"/>
              </w:rPr>
              <w:t>3,78</w:t>
            </w:r>
          </w:p>
        </w:tc>
        <w:tc>
          <w:tcPr>
            <w:tcW w:type="dxa" w:w="1134"/>
          </w:tcPr>
          <w:p>
            <w:r/>
            <w:r>
              <w:rPr>
                <w:b w:val="0"/>
                <w:i w:val="0"/>
                <w:sz w:val="16"/>
              </w:rPr>
              <w:t>4,44</w:t>
            </w:r>
          </w:p>
        </w:tc>
        <w:tc>
          <w:tcPr>
            <w:tcW w:type="dxa" w:w="850"/>
          </w:tcPr>
          <w:p>
            <w:r/>
            <w:r>
              <w:rPr>
                <w:b w:val="0"/>
                <w:i w:val="0"/>
                <w:sz w:val="16"/>
              </w:rPr>
              <w:t>B</w:t>
            </w:r>
          </w:p>
        </w:tc>
      </w:tr>
      <w:tr>
        <w:tc>
          <w:tcPr>
            <w:tcW w:type="dxa" w:w="3118"/>
            <w:shd w:val="clear" w:color="auto" w:fill="EEF2F7"/>
          </w:tcPr>
          <w:p>
            <w:r/>
            <w:r>
              <w:rPr>
                <w:b w:val="0"/>
                <w:i w:val="0"/>
                <w:sz w:val="16"/>
              </w:rPr>
              <w:t>Valor del problema</w:t>
            </w:r>
          </w:p>
        </w:tc>
        <w:tc>
          <w:tcPr>
            <w:tcW w:type="dxa" w:w="1984"/>
            <w:shd w:val="clear" w:color="auto" w:fill="EEF2F7"/>
          </w:tcPr>
          <w:p>
            <w:r/>
            <w:r>
              <w:rPr>
                <w:b w:val="0"/>
                <w:i w:val="0"/>
                <w:sz w:val="16"/>
              </w:rPr>
              <w:t>10 % → 20 %</w:t>
            </w:r>
          </w:p>
        </w:tc>
        <w:tc>
          <w:tcPr>
            <w:tcW w:type="dxa" w:w="1134"/>
            <w:shd w:val="clear" w:color="auto" w:fill="EEF2F7"/>
          </w:tcPr>
          <w:p>
            <w:r/>
            <w:r>
              <w:rPr>
                <w:b w:val="0"/>
                <w:i w:val="0"/>
                <w:sz w:val="16"/>
              </w:rPr>
              <w:t>3,82</w:t>
            </w:r>
          </w:p>
        </w:tc>
        <w:tc>
          <w:tcPr>
            <w:tcW w:type="dxa" w:w="1134"/>
            <w:shd w:val="clear" w:color="auto" w:fill="EEF2F7"/>
          </w:tcPr>
          <w:p>
            <w:r/>
            <w:r>
              <w:rPr>
                <w:b w:val="0"/>
                <w:i w:val="0"/>
                <w:sz w:val="16"/>
              </w:rPr>
              <w:t>4,36</w:t>
            </w:r>
          </w:p>
        </w:tc>
        <w:tc>
          <w:tcPr>
            <w:tcW w:type="dxa" w:w="850"/>
            <w:shd w:val="clear" w:color="auto" w:fill="EEF2F7"/>
          </w:tcPr>
          <w:p>
            <w:r/>
            <w:r>
              <w:rPr>
                <w:b w:val="0"/>
                <w:i w:val="0"/>
                <w:sz w:val="16"/>
              </w:rPr>
              <w:t>B</w:t>
            </w:r>
          </w:p>
        </w:tc>
      </w:tr>
    </w:tbl>
    <w:p>
      <w:pPr>
        <w:spacing w:after="40"/>
      </w:pPr>
    </w:p>
    <w:p>
      <w:pPr>
        <w:jc w:val="both"/>
      </w:pPr>
      <w:r>
        <w:rPr>
          <w:b/>
          <w:i w:val="0"/>
        </w:rPr>
        <w:t>Sensibilidad.</w:t>
      </w:r>
      <w:r>
        <w:rPr>
          <w:b w:val="0"/>
          <w:i w:val="0"/>
        </w:rPr>
        <w:t xml:space="preserve"> El criterio más influyente es la viabilidad técnica, con el mayor |w·(pA − pB)| = 0,50. Si su peso sube o baja 10 puntos, la decisión </w:t>
      </w:r>
      <w:r>
        <w:rPr>
          <w:b/>
          <w:i w:val="0"/>
        </w:rPr>
        <w:t>se mantiene</w:t>
      </w:r>
      <w:r>
        <w:rPr>
          <w:b w:val="0"/>
          <w:i w:val="0"/>
        </w:rPr>
        <w:t xml:space="preserve"> (Tabla 3). Repetimos la prueba con los otros cinco criterios y en ninguna de las 12 variaciones cambia el resultado. El único criterio que podría invertirlo es la complejidad de IA, y para llegar al empate tendría que pesar 35 %, más del doble del peso sugerido.</w:t>
      </w:r>
    </w:p>
    <w:p>
      <w:r>
        <w:rPr>
          <w:b/>
          <w:i w:val="0"/>
        </w:rPr>
        <w:t>Qué perdemos al descartar PickFlow-Agent:</w:t>
      </w:r>
    </w:p>
    <w:p>
      <w:pPr>
        <w:pStyle w:val="ListBullet"/>
        <w:spacing w:after="40"/>
      </w:pPr>
      <w:r>
        <w:rPr>
          <w:b w:val="0"/>
          <w:i w:val="0"/>
        </w:rPr>
        <w:t>Un ambiente multiagente y secuencial, con decisiones de asignación y ruta que se encadenan.</w:t>
      </w:r>
    </w:p>
    <w:p>
      <w:pPr>
        <w:pStyle w:val="ListBullet"/>
        <w:spacing w:after="40"/>
      </w:pPr>
      <w:r>
        <w:rPr>
          <w:b w:val="0"/>
          <w:i w:val="0"/>
        </w:rPr>
        <w:t>Un elemento de desempeño basado en utilidad, más rico en razonamiento que una clasificación con umbral.</w:t>
      </w:r>
    </w:p>
    <w:p>
      <w:pPr>
        <w:pStyle w:val="ListBullet"/>
        <w:spacing w:after="40"/>
      </w:pPr>
      <w:r>
        <w:rPr>
          <w:b w:val="0"/>
          <w:i w:val="0"/>
        </w:rPr>
        <w:t>Una medida de impacto operativo directo (−20 % del tiempo de preparación).</w:t>
      </w:r>
    </w:p>
    <w:p>
      <w:r>
        <w:rPr>
          <w:b w:val="0"/>
          <w:i w:val="0"/>
        </w:rPr>
        <w:t>Lo compensamos así:</w:t>
      </w:r>
    </w:p>
    <w:p>
      <w:pPr>
        <w:pStyle w:val="ListBullet"/>
        <w:spacing w:after="40"/>
      </w:pPr>
      <w:r>
        <w:rPr>
          <w:b w:val="0"/>
          <w:i w:val="0"/>
        </w:rPr>
        <w:t>StreamRetain conserva estado interno por suscriptor.</w:t>
      </w:r>
    </w:p>
    <w:p>
      <w:pPr>
        <w:pStyle w:val="ListBullet"/>
        <w:spacing w:after="40"/>
      </w:pPr>
      <w:r>
        <w:rPr>
          <w:b w:val="0"/>
          <w:i w:val="0"/>
        </w:rPr>
        <w:t>Aprende de los resultados con una compuerta de reentrenamiento.</w:t>
      </w:r>
    </w:p>
    <w:p>
      <w:pPr>
        <w:pStyle w:val="ListBullet"/>
        <w:spacing w:after="40"/>
      </w:pPr>
      <w:r>
        <w:rPr>
          <w:b w:val="0"/>
          <w:i w:val="0"/>
        </w:rPr>
        <w:t>Prioriza las ofertas con un presupuesto.</w:t>
      </w:r>
    </w:p>
    <w:p>
      <w:pPr>
        <w:pStyle w:val="ListBullet"/>
        <w:spacing w:after="40"/>
      </w:pPr>
      <w:r>
        <w:rPr>
          <w:b w:val="0"/>
          <w:i w:val="0"/>
        </w:rPr>
        <w:t>Opera en un entorno estocástico con fallas inyectadas.</w:t>
      </w:r>
    </w:p>
    <w:p>
      <w:r>
        <w:br w:type="page"/>
      </w:r>
    </w:p>
    <w:p>
      <w:pPr>
        <w:pStyle w:val="Heading1"/>
      </w:pPr>
      <w:r>
        <w:t>1. Introducción y planteamiento del problema</w:t>
      </w:r>
    </w:p>
    <w:p>
      <w:pPr>
        <w:jc w:val="both"/>
      </w:pPr>
      <w:r>
        <w:rPr>
          <w:b w:val="0"/>
          <w:i w:val="0"/>
        </w:rPr>
        <w:t>Las plataformas de streaming basadas en suscripción dependen de la permanencia de sus usuarios, por lo que la cancelación del servicio, que se puede denominar como churn, representa un problema relevante para la continuidad de los ingresos y para la planificación de estrategias de retención. En este contexto, el caso de uso StreamRetain-Agent plantea identificar semanalmente a los suscriptores con alta probabilidad de cancelar durante las siguientes cuatro semanas, utilizando señales de comportamiento como las horas vistas, los días transcurridos desde el último inicio de sesión, el tipo de plan y los cambios recientes en el método de pago (Maan &amp; Maan, 2023).</w:t>
      </w:r>
    </w:p>
    <w:p>
      <w:pPr>
        <w:jc w:val="both"/>
      </w:pPr>
      <w:r>
        <w:rPr>
          <w:b w:val="0"/>
          <w:i w:val="0"/>
        </w:rPr>
        <w:t>Un agente inteligente resulta pertinente porque no se limita a producir una predicción aislada, sino que percibe periódicamente el estado de cada suscriptor, compara su comportamiento actual con el historial disponible, estima el riesgo de cancelación, prioriza los casos de mayor riesgo y ejecuta una acción sobre el entorno mediante la conexión con el sistema de marketing para activar una oferta de retención. El resultado de cada intervención se registra con el propósito de mejorar decisiones posteriores y conformar un ciclo de percepción, decisión, acción y aprendizaje.</w:t>
      </w:r>
    </w:p>
    <w:p>
      <w:pPr>
        <w:pStyle w:val="Heading1"/>
      </w:pPr>
      <w:r>
        <w:t>2. Tipo de agente inteligente</w:t>
      </w:r>
    </w:p>
    <w:p>
      <w:pPr>
        <w:jc w:val="both"/>
      </w:pPr>
      <w:r>
        <w:rPr>
          <w:b w:val="0"/>
          <w:i w:val="0"/>
        </w:rPr>
        <w:t>El agente se clasifica principalmente como un agente de aprendizaje (Russell &amp; Norvig, 2004). Esta elección se justifica porque su comportamiento no dependerá únicamente de reglas fijas definidas por el diseñador, sino de un modelo entrenado con datos históricos de suscriptores que cancelaron y permanecieron. Además, el agente utilizará un estado interno basado en el historial de cada usuario para interpretar cambios de comportamiento, por ejemplo una disminución sostenida de las horas vistas. Los resultados de las intervenciones de retención se almacenarán para incorporarlos a futuras evaluaciones y reentrenamientos del modelo. Por ello, aunque utiliza características de un agente basado en modelo, su clasificación principal dentro de las opciones de la plantilla es de aprendizaje.</w:t>
      </w:r>
    </w:p>
    <w:p>
      <w:pPr>
        <w:pStyle w:val="Heading1"/>
      </w:pPr>
      <w:r>
        <w:t>3. Tipos de ambiente</w:t>
      </w:r>
    </w:p>
    <w:p>
      <w:pPr>
        <w:jc w:val="both"/>
      </w:pPr>
      <w:r>
        <w:rPr>
          <w:b w:val="0"/>
          <w:i w:val="0"/>
        </w:rPr>
        <w:t>La clasificación sigue las seis dimensiones de Russell y Norvig (2004) y del material del curso (Puertas, 2026).</w:t>
      </w:r>
    </w:p>
    <w:p>
      <w:pPr>
        <w:keepNext/>
        <w:spacing w:after="40"/>
      </w:pPr>
      <w:r>
        <w:rPr>
          <w:b/>
          <w:sz w:val="19"/>
        </w:rPr>
        <w:t xml:space="preserve">Tabla 4. </w:t>
      </w:r>
      <w:r>
        <w:rPr>
          <w:b w:val="0"/>
          <w:i w:val="0"/>
          <w:sz w:val="19"/>
        </w:rPr>
        <w:t>Propiedades del ambiente (sin cambios respecto a la Tarea 2).</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1701"/>
            <w:shd w:val="clear" w:color="auto" w:fill="1F3A5F"/>
          </w:tcPr>
          <w:p>
            <w:r/>
            <w:r>
              <w:rPr>
                <w:b/>
                <w:i w:val="0"/>
                <w:color w:val="FFFFFF"/>
                <w:sz w:val="17"/>
              </w:rPr>
              <w:t>Dimensión</w:t>
            </w:r>
          </w:p>
        </w:tc>
        <w:tc>
          <w:tcPr>
            <w:tcW w:type="dxa" w:w="1984"/>
            <w:shd w:val="clear" w:color="auto" w:fill="1F3A5F"/>
          </w:tcPr>
          <w:p>
            <w:r/>
            <w:r>
              <w:rPr>
                <w:b/>
                <w:i w:val="0"/>
                <w:color w:val="FFFFFF"/>
                <w:sz w:val="17"/>
              </w:rPr>
              <w:t>Clasificación</w:t>
            </w:r>
          </w:p>
        </w:tc>
        <w:tc>
          <w:tcPr>
            <w:tcW w:type="dxa" w:w="5953"/>
            <w:shd w:val="clear" w:color="auto" w:fill="1F3A5F"/>
          </w:tcPr>
          <w:p>
            <w:r/>
            <w:r>
              <w:rPr>
                <w:b/>
                <w:i w:val="0"/>
                <w:color w:val="FFFFFF"/>
                <w:sz w:val="17"/>
              </w:rPr>
              <w:t>Justificación</w:t>
            </w:r>
          </w:p>
        </w:tc>
      </w:tr>
      <w:tr>
        <w:tc>
          <w:tcPr>
            <w:tcW w:type="dxa" w:w="1701"/>
          </w:tcPr>
          <w:p>
            <w:r/>
            <w:r>
              <w:rPr>
                <w:b w:val="0"/>
                <w:i w:val="0"/>
                <w:sz w:val="17"/>
              </w:rPr>
              <w:t>Observabilidad</w:t>
            </w:r>
          </w:p>
        </w:tc>
        <w:tc>
          <w:tcPr>
            <w:tcW w:type="dxa" w:w="1984"/>
          </w:tcPr>
          <w:p>
            <w:r/>
            <w:r>
              <w:rPr>
                <w:b w:val="0"/>
                <w:i w:val="0"/>
                <w:sz w:val="17"/>
              </w:rPr>
              <w:t>Parcialmente observable</w:t>
            </w:r>
          </w:p>
        </w:tc>
        <w:tc>
          <w:tcPr>
            <w:tcW w:type="dxa" w:w="5953"/>
          </w:tcPr>
          <w:p>
            <w:r/>
            <w:r>
              <w:rPr>
                <w:b w:val="0"/>
                <w:i w:val="0"/>
                <w:sz w:val="17"/>
              </w:rPr>
              <w:t>El agente observa registros de uso, plan, accesos y pagos, pero no puede conocer de forma directa la intención futura del suscriptor ni todos los factores externos que pueden llevarlo a cancelar; debe inferir el riesgo a partir de señales incompletas.</w:t>
            </w:r>
          </w:p>
        </w:tc>
      </w:tr>
      <w:tr>
        <w:tc>
          <w:tcPr>
            <w:tcW w:type="dxa" w:w="1701"/>
            <w:shd w:val="clear" w:color="auto" w:fill="EEF2F7"/>
          </w:tcPr>
          <w:p>
            <w:r/>
            <w:r>
              <w:rPr>
                <w:b w:val="0"/>
                <w:i w:val="0"/>
                <w:sz w:val="17"/>
              </w:rPr>
              <w:t>Determinismo</w:t>
            </w:r>
          </w:p>
        </w:tc>
        <w:tc>
          <w:tcPr>
            <w:tcW w:type="dxa" w:w="1984"/>
            <w:shd w:val="clear" w:color="auto" w:fill="EEF2F7"/>
          </w:tcPr>
          <w:p>
            <w:r/>
            <w:r>
              <w:rPr>
                <w:b w:val="0"/>
                <w:i w:val="0"/>
                <w:sz w:val="17"/>
              </w:rPr>
              <w:t>Estocástico</w:t>
            </w:r>
          </w:p>
        </w:tc>
        <w:tc>
          <w:tcPr>
            <w:tcW w:type="dxa" w:w="5953"/>
            <w:shd w:val="clear" w:color="auto" w:fill="EEF2F7"/>
          </w:tcPr>
          <w:p>
            <w:r/>
            <w:r>
              <w:rPr>
                <w:b w:val="0"/>
                <w:i w:val="0"/>
                <w:sz w:val="17"/>
              </w:rPr>
              <w:t>Usuarios con características similares pueden tomar decisiones diferentes y una misma oferta de retención puede producir resultados distintos.</w:t>
            </w:r>
          </w:p>
        </w:tc>
      </w:tr>
      <w:tr>
        <w:tc>
          <w:tcPr>
            <w:tcW w:type="dxa" w:w="1701"/>
          </w:tcPr>
          <w:p>
            <w:r/>
            <w:r>
              <w:rPr>
                <w:b w:val="0"/>
                <w:i w:val="0"/>
                <w:sz w:val="17"/>
              </w:rPr>
              <w:t>Episodicidad</w:t>
            </w:r>
          </w:p>
        </w:tc>
        <w:tc>
          <w:tcPr>
            <w:tcW w:type="dxa" w:w="1984"/>
          </w:tcPr>
          <w:p>
            <w:r/>
            <w:r>
              <w:rPr>
                <w:b w:val="0"/>
                <w:i w:val="0"/>
                <w:sz w:val="17"/>
              </w:rPr>
              <w:t>Secuencial</w:t>
            </w:r>
          </w:p>
        </w:tc>
        <w:tc>
          <w:tcPr>
            <w:tcW w:type="dxa" w:w="5953"/>
          </w:tcPr>
          <w:p>
            <w:r/>
            <w:r>
              <w:rPr>
                <w:b w:val="0"/>
                <w:i w:val="0"/>
                <w:sz w:val="17"/>
              </w:rPr>
              <w:t>La evaluación de una semana depende del historial previo del usuario y las acciones ejecutadas pueden influir en su comportamiento posterior.</w:t>
            </w:r>
          </w:p>
        </w:tc>
      </w:tr>
      <w:tr>
        <w:tc>
          <w:tcPr>
            <w:tcW w:type="dxa" w:w="1701"/>
            <w:shd w:val="clear" w:color="auto" w:fill="EEF2F7"/>
          </w:tcPr>
          <w:p>
            <w:r/>
            <w:r>
              <w:rPr>
                <w:b w:val="0"/>
                <w:i w:val="0"/>
                <w:sz w:val="17"/>
              </w:rPr>
              <w:t>Dinamismo</w:t>
            </w:r>
          </w:p>
        </w:tc>
        <w:tc>
          <w:tcPr>
            <w:tcW w:type="dxa" w:w="1984"/>
            <w:shd w:val="clear" w:color="auto" w:fill="EEF2F7"/>
          </w:tcPr>
          <w:p>
            <w:r/>
            <w:r>
              <w:rPr>
                <w:b w:val="0"/>
                <w:i w:val="0"/>
                <w:sz w:val="17"/>
              </w:rPr>
              <w:t>Dinámico</w:t>
            </w:r>
          </w:p>
        </w:tc>
        <w:tc>
          <w:tcPr>
            <w:tcW w:type="dxa" w:w="5953"/>
            <w:shd w:val="clear" w:color="auto" w:fill="EEF2F7"/>
          </w:tcPr>
          <w:p>
            <w:r/>
            <w:r>
              <w:rPr>
                <w:b w:val="0"/>
                <w:i w:val="0"/>
                <w:sz w:val="17"/>
              </w:rPr>
              <w:t>El comportamiento cambia con el tiempo (sesiones, consumo, plan, pagos, cancelaciones); el agente actualiza su percepción en cada ciclo semanal.</w:t>
            </w:r>
          </w:p>
        </w:tc>
      </w:tr>
      <w:tr>
        <w:tc>
          <w:tcPr>
            <w:tcW w:type="dxa" w:w="1701"/>
          </w:tcPr>
          <w:p>
            <w:r/>
            <w:r>
              <w:rPr>
                <w:b w:val="0"/>
                <w:i w:val="0"/>
                <w:sz w:val="17"/>
              </w:rPr>
              <w:t>Discretización</w:t>
            </w:r>
          </w:p>
        </w:tc>
        <w:tc>
          <w:tcPr>
            <w:tcW w:type="dxa" w:w="1984"/>
          </w:tcPr>
          <w:p>
            <w:r/>
            <w:r>
              <w:rPr>
                <w:b w:val="0"/>
                <w:i w:val="0"/>
                <w:sz w:val="17"/>
              </w:rPr>
              <w:t>Continuo, con variables discretas</w:t>
            </w:r>
          </w:p>
        </w:tc>
        <w:tc>
          <w:tcPr>
            <w:tcW w:type="dxa" w:w="5953"/>
          </w:tcPr>
          <w:p>
            <w:r/>
            <w:r>
              <w:rPr>
                <w:b w:val="0"/>
                <w:i w:val="0"/>
                <w:sz w:val="17"/>
              </w:rPr>
              <w:t>Horas vistas, días desde el último acceso y probabilidad son numéricas; tipo de plan y estado de la suscripción son categóricos.</w:t>
            </w:r>
          </w:p>
        </w:tc>
      </w:tr>
      <w:tr>
        <w:tc>
          <w:tcPr>
            <w:tcW w:type="dxa" w:w="1701"/>
            <w:shd w:val="clear" w:color="auto" w:fill="EEF2F7"/>
          </w:tcPr>
          <w:p>
            <w:r/>
            <w:r>
              <w:rPr>
                <w:b w:val="0"/>
                <w:i w:val="0"/>
                <w:sz w:val="17"/>
              </w:rPr>
              <w:t>Número de agentes</w:t>
            </w:r>
          </w:p>
        </w:tc>
        <w:tc>
          <w:tcPr>
            <w:tcW w:type="dxa" w:w="1984"/>
            <w:shd w:val="clear" w:color="auto" w:fill="EEF2F7"/>
          </w:tcPr>
          <w:p>
            <w:r/>
            <w:r>
              <w:rPr>
                <w:b w:val="0"/>
                <w:i w:val="0"/>
                <w:sz w:val="17"/>
              </w:rPr>
              <w:t>Agente único</w:t>
            </w:r>
          </w:p>
        </w:tc>
        <w:tc>
          <w:tcPr>
            <w:tcW w:type="dxa" w:w="5953"/>
            <w:shd w:val="clear" w:color="auto" w:fill="EEF2F7"/>
          </w:tcPr>
          <w:p>
            <w:r/>
            <w:r>
              <w:rPr>
                <w:b w:val="0"/>
                <w:i w:val="0"/>
                <w:sz w:val="17"/>
              </w:rPr>
              <w:t>Un solo agente StreamRetain; usuarios y sistema de marketing forman parte del entorno.</w:t>
            </w:r>
          </w:p>
        </w:tc>
      </w:tr>
    </w:tbl>
    <w:p>
      <w:pPr>
        <w:spacing w:after="40"/>
      </w:pPr>
    </w:p>
    <w:p>
      <w:pPr>
        <w:pStyle w:val="Heading1"/>
      </w:pPr>
      <w:r>
        <w:t>4. Descripción del entorno</w:t>
      </w:r>
    </w:p>
    <w:p>
      <w:pPr>
        <w:jc w:val="both"/>
      </w:pPr>
      <w:r>
        <w:rPr>
          <w:b w:val="0"/>
          <w:i w:val="0"/>
        </w:rPr>
        <w:t>El entorno operativo corresponde a una plataforma piloto de streaming por suscripción. Los actores principales son los suscriptores activos, el agente StreamRetain y el sistema de marketing o retención. El agente recibe semanalmente la información de comportamiento disponible para cada suscriptor y genera una estimación de riesgo de cancelación a cuatro semanas. Cuando identifica usuarios de mayor riesgo, los prioriza y envía la decisión al sistema de marketing para activar una oferta de retención personalizada. Posteriormente, se registra si el usuario permaneció o canceló.</w:t>
      </w:r>
    </w:p>
    <w:p>
      <w:pPr>
        <w:jc w:val="both"/>
      </w:pPr>
      <w:r>
        <w:rPr>
          <w:b w:val="0"/>
          <w:i w:val="0"/>
        </w:rPr>
        <w:t>Como restricciones del dominio, el agente solo puede decidir con base en los datos que la plataforma haya capturado y no debe asumir información histórica inexistente. Entre las condiciones excepcionales que deben manejarse se encuentran los registros faltantes o inválidos, los usuarios sin suficiente historial y los fallos temporales de integración con el sistema de marketing.</w:t>
      </w:r>
    </w:p>
    <w:p>
      <w:pPr>
        <w:jc w:val="both"/>
      </w:pPr>
      <w:r>
        <w:rPr>
          <w:b/>
          <w:i w:val="0"/>
        </w:rPr>
        <w:t>Entorno de implementación (corregido).</w:t>
      </w:r>
      <w:r>
        <w:rPr>
          <w:b w:val="0"/>
          <w:i w:val="0"/>
        </w:rPr>
        <w:t xml:space="preserve"> Como no tenemos acceso a una plataforma real, el entorno se implementó como un </w:t>
      </w:r>
      <w:r>
        <w:rPr>
          <w:b/>
          <w:i w:val="0"/>
        </w:rPr>
        <w:t>simulador estocástico con datos sintéticos</w:t>
      </w:r>
      <w:r>
        <w:rPr>
          <w:b w:val="0"/>
          <w:i w:val="0"/>
        </w:rPr>
        <w:t xml:space="preserve"> (sección 9.1). El simulador genera las percepciones de la sección 5 y respeta las propiedades de la sección 3. Los 13 escenarios de evaluación (6 normales, 4 límite y 3 de falla esperada) y sus parámetros quedaron definidos y congelados en </w:t>
      </w:r>
      <w:r>
        <w:rPr>
          <w:rFonts w:ascii="Consolas" w:hAnsi="Consolas" w:eastAsia="Consolas"/>
          <w:b w:val="0"/>
          <w:i w:val="0"/>
        </w:rPr>
        <w:t>config/escenarios.yaml</w:t>
      </w:r>
      <w:r>
        <w:rPr>
          <w:b w:val="0"/>
          <w:i w:val="0"/>
        </w:rPr>
        <w:t xml:space="preserve"> antes de probar.</w:t>
      </w:r>
    </w:p>
    <w:p>
      <w:pPr>
        <w:pStyle w:val="Heading1"/>
      </w:pPr>
      <w:r>
        <w:t>5. Entradas y sensores</w:t>
      </w:r>
    </w:p>
    <w:p>
      <w:pPr>
        <w:pStyle w:val="ListBullet"/>
        <w:spacing w:after="40"/>
      </w:pPr>
      <w:r>
        <w:rPr>
          <w:b/>
          <w:i w:val="0"/>
        </w:rPr>
        <w:t>Horas vistas:</w:t>
      </w:r>
      <w:r>
        <w:rPr>
          <w:b w:val="0"/>
          <w:i w:val="0"/>
        </w:rPr>
        <w:t xml:space="preserve"> dato numérico del nivel de consumo semanal. Captura: registros de reproducción.</w:t>
      </w:r>
    </w:p>
    <w:p>
      <w:pPr>
        <w:pStyle w:val="ListBullet"/>
        <w:spacing w:after="40"/>
      </w:pPr>
      <w:r>
        <w:rPr>
          <w:b/>
          <w:i w:val="0"/>
        </w:rPr>
        <w:t>Días desde el último inicio de sesión:</w:t>
      </w:r>
      <w:r>
        <w:rPr>
          <w:b w:val="0"/>
          <w:i w:val="0"/>
        </w:rPr>
        <w:t xml:space="preserve"> dato numérico de recencia. Captura: registros de autenticación.</w:t>
      </w:r>
    </w:p>
    <w:p>
      <w:pPr>
        <w:pStyle w:val="ListBullet"/>
        <w:spacing w:after="40"/>
      </w:pPr>
      <w:r>
        <w:rPr>
          <w:b/>
          <w:i w:val="0"/>
        </w:rPr>
        <w:t>Tipo de plan:</w:t>
      </w:r>
      <w:r>
        <w:rPr>
          <w:b w:val="0"/>
          <w:i w:val="0"/>
        </w:rPr>
        <w:t xml:space="preserve"> dato categórico (básico, estándar, premium). Captura: base de datos de suscripciones.</w:t>
      </w:r>
    </w:p>
    <w:p>
      <w:pPr>
        <w:pStyle w:val="ListBullet"/>
        <w:spacing w:after="40"/>
      </w:pPr>
      <w:r>
        <w:rPr>
          <w:b/>
          <w:i w:val="0"/>
        </w:rPr>
        <w:t>Cambio reciente en el método de pago:</w:t>
      </w:r>
      <w:r>
        <w:rPr>
          <w:b w:val="0"/>
          <w:i w:val="0"/>
        </w:rPr>
        <w:t xml:space="preserve"> dato binario. Captura: sistema de facturación.</w:t>
      </w:r>
    </w:p>
    <w:p>
      <w:pPr>
        <w:pStyle w:val="ListBullet"/>
        <w:spacing w:after="40"/>
      </w:pPr>
      <w:r>
        <w:rPr>
          <w:b/>
          <w:i w:val="0"/>
        </w:rPr>
        <w:t>Historial semanal de comportamiento:</w:t>
      </w:r>
      <w:r>
        <w:rPr>
          <w:b w:val="0"/>
          <w:i w:val="0"/>
        </w:rPr>
        <w:t xml:space="preserve"> serie temporal construida con las capturas periódicas para calcular variaciones, tendencias y caídas sostenidas de consumo.</w:t>
      </w:r>
    </w:p>
    <w:p>
      <w:pPr>
        <w:pStyle w:val="ListBullet"/>
        <w:spacing w:after="40"/>
      </w:pPr>
      <w:r>
        <w:rPr>
          <w:b/>
          <w:i w:val="0"/>
        </w:rPr>
        <w:t>Estado posterior de la suscripción e intervención:</w:t>
      </w:r>
      <w:r>
        <w:rPr>
          <w:b w:val="0"/>
          <w:i w:val="0"/>
        </w:rPr>
        <w:t xml:space="preserve"> dato categórico (permaneció o canceló) que el agente recibe </w:t>
      </w:r>
      <w:r>
        <w:rPr>
          <w:b/>
          <w:i w:val="0"/>
        </w:rPr>
        <w:t>4 semanas después</w:t>
      </w:r>
      <w:r>
        <w:rPr>
          <w:b w:val="0"/>
          <w:i w:val="0"/>
        </w:rPr>
        <w:t xml:space="preserve"> de cada predicción, junto con el registro de las ofertas activadas. Solo se usa para aprender, nunca para decidir en la semana en curso (precisión agregada).</w:t>
      </w:r>
    </w:p>
    <w:p>
      <w:pPr>
        <w:pStyle w:val="Heading1"/>
      </w:pPr>
      <w:r>
        <w:t>6. Salidas y actuadores</w:t>
      </w:r>
    </w:p>
    <w:p>
      <w:pPr>
        <w:pStyle w:val="ListBullet"/>
        <w:spacing w:after="40"/>
      </w:pPr>
      <w:r>
        <w:rPr>
          <w:b/>
          <w:i w:val="0"/>
        </w:rPr>
        <w:t>Probabilidad de cancelación:</w:t>
      </w:r>
      <w:r>
        <w:rPr>
          <w:b w:val="0"/>
          <w:i w:val="0"/>
        </w:rPr>
        <w:t xml:space="preserve"> riesgo estimado de cancelar en las siguientes cuatro semanas; modifica el estado interno de decisión y permite ordenar prioridades.</w:t>
      </w:r>
    </w:p>
    <w:p>
      <w:pPr>
        <w:pStyle w:val="ListBullet"/>
        <w:spacing w:after="40"/>
      </w:pPr>
      <w:r>
        <w:rPr>
          <w:b/>
          <w:i w:val="0"/>
        </w:rPr>
        <w:t>Clasificación o priorización de riesgo:</w:t>
      </w:r>
      <w:r>
        <w:rPr>
          <w:b w:val="0"/>
          <w:i w:val="0"/>
        </w:rPr>
        <w:t xml:space="preserve"> organiza a los suscriptores según su riesgo para determinar cuáles requieren intervención.</w:t>
      </w:r>
    </w:p>
    <w:p>
      <w:pPr>
        <w:pStyle w:val="ListBullet"/>
        <w:spacing w:after="40"/>
      </w:pPr>
      <w:r>
        <w:rPr>
          <w:b/>
          <w:i w:val="0"/>
        </w:rPr>
        <w:t>Activación de oferta de retención:</w:t>
      </w:r>
      <w:r>
        <w:rPr>
          <w:b w:val="0"/>
          <w:i w:val="0"/>
        </w:rPr>
        <w:t xml:space="preserve"> acción ejecutada mediante la llamada al servicio de marketing, que registra al usuario y activa la oferta.</w:t>
      </w:r>
    </w:p>
    <w:p>
      <w:pPr>
        <w:pStyle w:val="ListBullet"/>
        <w:spacing w:after="40"/>
      </w:pPr>
      <w:r>
        <w:rPr>
          <w:b/>
          <w:i w:val="0"/>
        </w:rPr>
        <w:t>Registro de la intervención y su resultado:</w:t>
      </w:r>
      <w:r>
        <w:rPr>
          <w:b w:val="0"/>
          <w:i w:val="0"/>
        </w:rPr>
        <w:t xml:space="preserve"> escritura en la base histórica de la intervención, la fecha y el resultado observado, que actualiza la memoria del agente.</w:t>
      </w:r>
    </w:p>
    <w:p>
      <w:pPr>
        <w:pStyle w:val="Heading1"/>
      </w:pPr>
      <w:r>
        <w:t>7. Medidas de desempeño</w:t>
      </w:r>
    </w:p>
    <w:p>
      <w:pPr>
        <w:jc w:val="both"/>
      </w:pPr>
      <w:r>
        <w:rPr>
          <w:b/>
          <w:i w:val="0"/>
        </w:rPr>
        <w:t>Medida SMART original (se conserva como M1).</w:t>
      </w:r>
      <w:r>
        <w:rPr>
          <w:b w:val="0"/>
          <w:i w:val="0"/>
        </w:rPr>
        <w:t xml:space="preserve"> Alcanzar una exactitud (accuracy) general mínima del 75 % al identificar, en cada ciclo semanal, a los suscriptores que cancelarán dentro de las siguientes cuatro semanas. Se calcula como predicciones correctas / total de predicciones, sobre datos no usados en el entrenamiento. El 75 % es el umbral definido en el caso de uso.</w:t>
      </w:r>
    </w:p>
    <w:p>
      <w:pPr>
        <w:jc w:val="both"/>
      </w:pPr>
      <w:r>
        <w:rPr>
          <w:b/>
          <w:i w:val="0"/>
        </w:rPr>
        <w:t>Reformulación (corregido, antes de probar).</w:t>
      </w:r>
      <w:r>
        <w:rPr>
          <w:b w:val="0"/>
          <w:i w:val="0"/>
        </w:rPr>
        <w:t xml:space="preserve"> Con tasas de cancelación de 25 % o menos, la estrategia trivial de predecir que nadie cancela obtiene una accuracy de 1 − tasa base, es decir, 75 % o más, sin detectar a nadie. Por eso la medida original no permite distinguir un buen agente de uno inútil. La medida principal pasa a ser la </w:t>
      </w:r>
      <w:r>
        <w:rPr>
          <w:b/>
          <w:i w:val="0"/>
        </w:rPr>
        <w:t>precisión balanceada ≥ 75 %</w:t>
      </w:r>
      <w:r>
        <w:rPr>
          <w:b w:val="0"/>
          <w:i w:val="0"/>
        </w:rPr>
        <w:t xml:space="preserve"> (M1R), que conserva el umbral del diseño y en la que la estrategia trivial obtiene 50 %. Se agregan cinco medidas complementarias. Todas tienen fórmula y umbral, y se congelaron con el tag git </w:t>
      </w:r>
      <w:r>
        <w:rPr>
          <w:rFonts w:ascii="Consolas" w:hAnsi="Consolas" w:eastAsia="Consolas"/>
          <w:b w:val="0"/>
          <w:i w:val="0"/>
        </w:rPr>
        <w:t>umbrales-congelados</w:t>
      </w:r>
      <w:r>
        <w:rPr>
          <w:b w:val="0"/>
          <w:i w:val="0"/>
        </w:rPr>
        <w:t xml:space="preserve"> antes de ejecutar la evaluación.</w:t>
      </w:r>
    </w:p>
    <w:p>
      <w:pPr>
        <w:keepNext/>
        <w:spacing w:after="40"/>
      </w:pPr>
      <w:r>
        <w:rPr>
          <w:b/>
          <w:sz w:val="19"/>
        </w:rPr>
        <w:t xml:space="preserve">Tabla 5. </w:t>
      </w:r>
      <w:r>
        <w:rPr>
          <w:b w:val="0"/>
          <w:i w:val="0"/>
          <w:sz w:val="19"/>
        </w:rPr>
        <w:t>Medidas de desempeño y umbrales congelados antes de probar.</w:t>
      </w:r>
    </w:p>
    <w:tbl>
      <w:tblPr>
        <w:tblStyle w:val="TableGrid"/>
        <w:tblW w:type="auto" w:w="0"/>
        <w:jc w:val="center"/>
        <w:tblLook w:firstColumn="1" w:firstRow="1" w:lastColumn="0" w:lastRow="0" w:noHBand="0" w:noVBand="1" w:val="04A0"/>
      </w:tblPr>
      <w:tblGrid>
        <w:gridCol w:w="2408"/>
        <w:gridCol w:w="2408"/>
        <w:gridCol w:w="2408"/>
        <w:gridCol w:w="2408"/>
      </w:tblGrid>
      <w:tr>
        <w:trPr>
          <w:tblHeader w:val="true"/>
        </w:trPr>
        <w:tc>
          <w:tcPr>
            <w:tcW w:type="dxa" w:w="680"/>
            <w:shd w:val="clear" w:color="auto" w:fill="1F3A5F"/>
          </w:tcPr>
          <w:p>
            <w:r/>
            <w:r>
              <w:rPr>
                <w:b/>
                <w:i w:val="0"/>
                <w:color w:val="FFFFFF"/>
                <w:sz w:val="17"/>
              </w:rPr>
              <w:t>ID</w:t>
            </w:r>
          </w:p>
        </w:tc>
        <w:tc>
          <w:tcPr>
            <w:tcW w:type="dxa" w:w="3572"/>
            <w:shd w:val="clear" w:color="auto" w:fill="1F3A5F"/>
          </w:tcPr>
          <w:p>
            <w:r/>
            <w:r>
              <w:rPr>
                <w:b/>
                <w:i w:val="0"/>
                <w:color w:val="FFFFFF"/>
                <w:sz w:val="17"/>
              </w:rPr>
              <w:t>Medida</w:t>
            </w:r>
          </w:p>
        </w:tc>
        <w:tc>
          <w:tcPr>
            <w:tcW w:type="dxa" w:w="3685"/>
            <w:shd w:val="clear" w:color="auto" w:fill="1F3A5F"/>
          </w:tcPr>
          <w:p>
            <w:r/>
            <w:r>
              <w:rPr>
                <w:b/>
                <w:i w:val="0"/>
                <w:color w:val="FFFFFF"/>
                <w:sz w:val="17"/>
              </w:rPr>
              <w:t>Fórmula</w:t>
            </w:r>
          </w:p>
        </w:tc>
        <w:tc>
          <w:tcPr>
            <w:tcW w:type="dxa" w:w="1417"/>
            <w:shd w:val="clear" w:color="auto" w:fill="1F3A5F"/>
          </w:tcPr>
          <w:p>
            <w:r/>
            <w:r>
              <w:rPr>
                <w:b/>
                <w:i w:val="0"/>
                <w:color w:val="FFFFFF"/>
                <w:sz w:val="17"/>
              </w:rPr>
              <w:t>Umbral</w:t>
            </w:r>
          </w:p>
        </w:tc>
      </w:tr>
      <w:tr>
        <w:tc>
          <w:tcPr>
            <w:tcW w:type="dxa" w:w="680"/>
          </w:tcPr>
          <w:p>
            <w:r/>
            <w:r>
              <w:rPr>
                <w:b w:val="0"/>
                <w:i w:val="0"/>
                <w:sz w:val="17"/>
              </w:rPr>
              <w:t>M1</w:t>
            </w:r>
          </w:p>
        </w:tc>
        <w:tc>
          <w:tcPr>
            <w:tcW w:type="dxa" w:w="3572"/>
          </w:tcPr>
          <w:p>
            <w:r/>
            <w:r>
              <w:rPr>
                <w:b w:val="0"/>
                <w:i w:val="0"/>
                <w:sz w:val="17"/>
              </w:rPr>
              <w:t>Exactitud (accuracy), SMART original</w:t>
            </w:r>
          </w:p>
        </w:tc>
        <w:tc>
          <w:tcPr>
            <w:tcW w:type="dxa" w:w="3685"/>
          </w:tcPr>
          <w:p>
            <w:r/>
            <w:r>
              <w:rPr>
                <w:b w:val="0"/>
                <w:i w:val="0"/>
                <w:sz w:val="17"/>
              </w:rPr>
              <w:t>(TP + TN) / N</w:t>
            </w:r>
          </w:p>
        </w:tc>
        <w:tc>
          <w:tcPr>
            <w:tcW w:type="dxa" w:w="1417"/>
          </w:tcPr>
          <w:p>
            <w:r/>
            <w:r>
              <w:rPr>
                <w:b w:val="0"/>
                <w:i w:val="0"/>
                <w:sz w:val="17"/>
              </w:rPr>
              <w:t>≥ 75 %</w:t>
            </w:r>
          </w:p>
        </w:tc>
      </w:tr>
      <w:tr>
        <w:tc>
          <w:tcPr>
            <w:tcW w:type="dxa" w:w="680"/>
            <w:shd w:val="clear" w:color="auto" w:fill="EEF2F7"/>
          </w:tcPr>
          <w:p>
            <w:r/>
            <w:r>
              <w:rPr>
                <w:b w:val="0"/>
                <w:i w:val="0"/>
                <w:sz w:val="17"/>
              </w:rPr>
              <w:t>M1R</w:t>
            </w:r>
          </w:p>
        </w:tc>
        <w:tc>
          <w:tcPr>
            <w:tcW w:type="dxa" w:w="3572"/>
            <w:shd w:val="clear" w:color="auto" w:fill="EEF2F7"/>
          </w:tcPr>
          <w:p>
            <w:r/>
            <w:r>
              <w:rPr>
                <w:b w:val="0"/>
                <w:i w:val="0"/>
                <w:sz w:val="17"/>
              </w:rPr>
              <w:t>Precisión balanceada (principal)</w:t>
            </w:r>
          </w:p>
        </w:tc>
        <w:tc>
          <w:tcPr>
            <w:tcW w:type="dxa" w:w="3685"/>
            <w:shd w:val="clear" w:color="auto" w:fill="EEF2F7"/>
          </w:tcPr>
          <w:p>
            <w:r/>
            <w:r>
              <w:rPr>
                <w:b w:val="0"/>
                <w:i w:val="0"/>
                <w:sz w:val="17"/>
              </w:rPr>
              <w:t>(recall + especificidad) / 2</w:t>
            </w:r>
          </w:p>
        </w:tc>
        <w:tc>
          <w:tcPr>
            <w:tcW w:type="dxa" w:w="1417"/>
            <w:shd w:val="clear" w:color="auto" w:fill="EEF2F7"/>
          </w:tcPr>
          <w:p>
            <w:r/>
            <w:r>
              <w:rPr>
                <w:b w:val="0"/>
                <w:i w:val="0"/>
                <w:sz w:val="17"/>
              </w:rPr>
              <w:t>≥ 75 %</w:t>
            </w:r>
          </w:p>
        </w:tc>
      </w:tr>
      <w:tr>
        <w:tc>
          <w:tcPr>
            <w:tcW w:type="dxa" w:w="680"/>
          </w:tcPr>
          <w:p>
            <w:r/>
            <w:r>
              <w:rPr>
                <w:b w:val="0"/>
                <w:i w:val="0"/>
                <w:sz w:val="17"/>
              </w:rPr>
              <w:t>M2</w:t>
            </w:r>
          </w:p>
        </w:tc>
        <w:tc>
          <w:tcPr>
            <w:tcW w:type="dxa" w:w="3572"/>
          </w:tcPr>
          <w:p>
            <w:r/>
            <w:r>
              <w:rPr>
                <w:b w:val="0"/>
                <w:i w:val="0"/>
                <w:sz w:val="17"/>
              </w:rPr>
              <w:t>Recall de la clase «cancela»</w:t>
            </w:r>
          </w:p>
        </w:tc>
        <w:tc>
          <w:tcPr>
            <w:tcW w:type="dxa" w:w="3685"/>
          </w:tcPr>
          <w:p>
            <w:r/>
            <w:r>
              <w:rPr>
                <w:b w:val="0"/>
                <w:i w:val="0"/>
                <w:sz w:val="17"/>
              </w:rPr>
              <w:t>TP / (TP + FN)</w:t>
            </w:r>
          </w:p>
        </w:tc>
        <w:tc>
          <w:tcPr>
            <w:tcW w:type="dxa" w:w="1417"/>
          </w:tcPr>
          <w:p>
            <w:r/>
            <w:r>
              <w:rPr>
                <w:b w:val="0"/>
                <w:i w:val="0"/>
                <w:sz w:val="17"/>
              </w:rPr>
              <w:t>≥ 60 %</w:t>
            </w:r>
          </w:p>
        </w:tc>
      </w:tr>
      <w:tr>
        <w:tc>
          <w:tcPr>
            <w:tcW w:type="dxa" w:w="680"/>
            <w:shd w:val="clear" w:color="auto" w:fill="EEF2F7"/>
          </w:tcPr>
          <w:p>
            <w:r/>
            <w:r>
              <w:rPr>
                <w:b w:val="0"/>
                <w:i w:val="0"/>
                <w:sz w:val="17"/>
              </w:rPr>
              <w:t>M3</w:t>
            </w:r>
          </w:p>
        </w:tc>
        <w:tc>
          <w:tcPr>
            <w:tcW w:type="dxa" w:w="3572"/>
            <w:shd w:val="clear" w:color="auto" w:fill="EEF2F7"/>
          </w:tcPr>
          <w:p>
            <w:r/>
            <w:r>
              <w:rPr>
                <w:b w:val="0"/>
                <w:i w:val="0"/>
                <w:sz w:val="17"/>
              </w:rPr>
              <w:t>Precisión en el top-K (K = 10 % de la base)</w:t>
            </w:r>
          </w:p>
        </w:tc>
        <w:tc>
          <w:tcPr>
            <w:tcW w:type="dxa" w:w="3685"/>
            <w:shd w:val="clear" w:color="auto" w:fill="EEF2F7"/>
          </w:tcPr>
          <w:p>
            <w:r/>
            <w:r>
              <w:rPr>
                <w:b w:val="0"/>
                <w:i w:val="0"/>
                <w:sz w:val="17"/>
              </w:rPr>
              <w:t>cancelaciones reales en el top-K / K</w:t>
            </w:r>
          </w:p>
        </w:tc>
        <w:tc>
          <w:tcPr>
            <w:tcW w:type="dxa" w:w="1417"/>
            <w:shd w:val="clear" w:color="auto" w:fill="EEF2F7"/>
          </w:tcPr>
          <w:p>
            <w:r/>
            <w:r>
              <w:rPr>
                <w:b w:val="0"/>
                <w:i w:val="0"/>
                <w:sz w:val="17"/>
              </w:rPr>
              <w:t>≥ 50 %</w:t>
            </w:r>
          </w:p>
        </w:tc>
      </w:tr>
      <w:tr>
        <w:tc>
          <w:tcPr>
            <w:tcW w:type="dxa" w:w="680"/>
          </w:tcPr>
          <w:p>
            <w:r/>
            <w:r>
              <w:rPr>
                <w:b w:val="0"/>
                <w:i w:val="0"/>
                <w:sz w:val="17"/>
              </w:rPr>
              <w:t>M4</w:t>
            </w:r>
          </w:p>
        </w:tc>
        <w:tc>
          <w:tcPr>
            <w:tcW w:type="dxa" w:w="3572"/>
          </w:tcPr>
          <w:p>
            <w:r/>
            <w:r>
              <w:rPr>
                <w:b w:val="0"/>
                <w:i w:val="0"/>
                <w:sz w:val="17"/>
              </w:rPr>
              <w:t>AUC-ROC</w:t>
            </w:r>
          </w:p>
        </w:tc>
        <w:tc>
          <w:tcPr>
            <w:tcW w:type="dxa" w:w="3685"/>
          </w:tcPr>
          <w:p>
            <w:r/>
            <w:r>
              <w:rPr>
                <w:b w:val="0"/>
                <w:i w:val="0"/>
                <w:sz w:val="17"/>
              </w:rPr>
              <w:t>área bajo la curva ROC de la probabilidad</w:t>
            </w:r>
          </w:p>
        </w:tc>
        <w:tc>
          <w:tcPr>
            <w:tcW w:type="dxa" w:w="1417"/>
          </w:tcPr>
          <w:p>
            <w:r/>
            <w:r>
              <w:rPr>
                <w:b w:val="0"/>
                <w:i w:val="0"/>
                <w:sz w:val="17"/>
              </w:rPr>
              <w:t>≥ 0,80</w:t>
            </w:r>
          </w:p>
        </w:tc>
      </w:tr>
      <w:tr>
        <w:tc>
          <w:tcPr>
            <w:tcW w:type="dxa" w:w="680"/>
            <w:shd w:val="clear" w:color="auto" w:fill="EEF2F7"/>
          </w:tcPr>
          <w:p>
            <w:r/>
            <w:r>
              <w:rPr>
                <w:b w:val="0"/>
                <w:i w:val="0"/>
                <w:sz w:val="17"/>
              </w:rPr>
              <w:t>M5</w:t>
            </w:r>
          </w:p>
        </w:tc>
        <w:tc>
          <w:tcPr>
            <w:tcW w:type="dxa" w:w="3572"/>
            <w:shd w:val="clear" w:color="auto" w:fill="EEF2F7"/>
          </w:tcPr>
          <w:p>
            <w:r/>
            <w:r>
              <w:rPr>
                <w:b w:val="0"/>
                <w:i w:val="0"/>
                <w:sz w:val="17"/>
              </w:rPr>
              <w:t>Robustez ante entradas inválidas y fallas</w:t>
            </w:r>
          </w:p>
        </w:tc>
        <w:tc>
          <w:tcPr>
            <w:tcW w:type="dxa" w:w="3685"/>
            <w:shd w:val="clear" w:color="auto" w:fill="EEF2F7"/>
          </w:tcPr>
          <w:p>
            <w:r/>
            <w:r>
              <w:rPr>
                <w:b w:val="0"/>
                <w:i w:val="0"/>
                <w:sz w:val="17"/>
              </w:rPr>
              <w:t>fallas manejadas / fallas inyectadas</w:t>
            </w:r>
          </w:p>
        </w:tc>
        <w:tc>
          <w:tcPr>
            <w:tcW w:type="dxa" w:w="1417"/>
            <w:shd w:val="clear" w:color="auto" w:fill="EEF2F7"/>
          </w:tcPr>
          <w:p>
            <w:r/>
            <w:r>
              <w:rPr>
                <w:b w:val="0"/>
                <w:i w:val="0"/>
                <w:sz w:val="17"/>
              </w:rPr>
              <w:t>100 %</w:t>
            </w:r>
          </w:p>
        </w:tc>
      </w:tr>
      <w:tr>
        <w:tc>
          <w:tcPr>
            <w:tcW w:type="dxa" w:w="680"/>
          </w:tcPr>
          <w:p>
            <w:r/>
            <w:r>
              <w:rPr>
                <w:b w:val="0"/>
                <w:i w:val="0"/>
                <w:sz w:val="17"/>
              </w:rPr>
              <w:t>M6</w:t>
            </w:r>
          </w:p>
        </w:tc>
        <w:tc>
          <w:tcPr>
            <w:tcW w:type="dxa" w:w="3572"/>
          </w:tcPr>
          <w:p>
            <w:r/>
            <w:r>
              <w:rPr>
                <w:b w:val="0"/>
                <w:i w:val="0"/>
                <w:sz w:val="17"/>
              </w:rPr>
              <w:t>Latencia del ciclo semanal (2.000 suscriptores)</w:t>
            </w:r>
          </w:p>
        </w:tc>
        <w:tc>
          <w:tcPr>
            <w:tcW w:type="dxa" w:w="3685"/>
          </w:tcPr>
          <w:p>
            <w:r/>
            <w:r>
              <w:rPr>
                <w:b w:val="0"/>
                <w:i w:val="0"/>
                <w:sz w:val="17"/>
              </w:rPr>
              <w:t>segundos por ciclo</w:t>
            </w:r>
          </w:p>
        </w:tc>
        <w:tc>
          <w:tcPr>
            <w:tcW w:type="dxa" w:w="1417"/>
          </w:tcPr>
          <w:p>
            <w:r/>
            <w:r>
              <w:rPr>
                <w:b w:val="0"/>
                <w:i w:val="0"/>
                <w:sz w:val="17"/>
              </w:rPr>
              <w:t>≤ 10 s</w:t>
            </w:r>
          </w:p>
        </w:tc>
      </w:tr>
    </w:tbl>
    <w:p>
      <w:pPr>
        <w:spacing w:after="40"/>
      </w:pPr>
    </w:p>
    <w:p>
      <w:pPr>
        <w:pStyle w:val="Heading1"/>
      </w:pPr>
      <w:r>
        <w:t>8. Componentes de la arquitectura de IA agéntica (marco IBM)</w:t>
      </w:r>
    </w:p>
    <w:p>
      <w:pPr>
        <w:jc w:val="both"/>
      </w:pPr>
      <w:r>
        <w:rPr>
          <w:b w:val="0"/>
          <w:i w:val="0"/>
        </w:rPr>
        <w:t>Los agentes de inteligencia artificial son sistemas capaces de percibir su entorno, tomar decisiones y ejecutar acciones de manera autónoma. Según la arquitectura de la IA agéntica que describe IBM (s. f.), sus componentes se organizan en siete áreas funcionales.</w:t>
      </w:r>
    </w:p>
    <w:p>
      <w:pPr>
        <w:jc w:val="both"/>
      </w:pPr>
      <w:r>
        <w:rPr>
          <w:b/>
          <w:i w:val="0"/>
        </w:rPr>
        <w:t>Percepción y manejo de entradas.</w:t>
      </w:r>
      <w:r>
        <w:rPr>
          <w:b w:val="0"/>
          <w:i w:val="0"/>
        </w:rPr>
        <w:t xml:space="preserve"> El agente recibe y valida los datos semanales de cada suscriptor desde los registros de reproducción, acceso, suscripción y pagos, y los transforma en variables utilizables por el modelo, comparándolos con el historial disponible del propio usuario. Cuando no existe suficiente historial, el sistema reconoce esa limitación en lugar de generar artificialmente observaciones anteriores.</w:t>
      </w:r>
    </w:p>
    <w:p>
      <w:pPr>
        <w:jc w:val="both"/>
      </w:pPr>
      <w:r>
        <w:rPr>
          <w:b/>
          <w:i w:val="0"/>
        </w:rPr>
        <w:t>Planificación y descomposición de tareas.</w:t>
      </w:r>
      <w:r>
        <w:rPr>
          <w:b w:val="0"/>
          <w:i w:val="0"/>
        </w:rPr>
        <w:t xml:space="preserve"> En cada ciclo semanal el agente divide su tarea en etapas: recopilar y validar datos, actualizar el historial, calcular cambios de comportamiento, estimar la probabilidad de cancelación, ordenar a los usuarios por riesgo, seleccionar los casos que cumplen el criterio de intervención, ejecutar la acción mediante marketing y registrar el resultado.</w:t>
      </w:r>
    </w:p>
    <w:p>
      <w:pPr>
        <w:jc w:val="both"/>
      </w:pPr>
      <w:r>
        <w:rPr>
          <w:b/>
          <w:i w:val="0"/>
        </w:rPr>
        <w:t>Memoria.</w:t>
      </w:r>
      <w:r>
        <w:rPr>
          <w:b w:val="0"/>
          <w:i w:val="0"/>
        </w:rPr>
        <w:t xml:space="preserve"> Historial de observaciones semanales de cada suscriptor, predicciones realizadas, intervenciones aplicadas y sus resultados. Permite construir variación semanal, promedio reciente, tendencia de consumo y semanas consecutivas de descenso, solo con datos realmente capturados.</w:t>
      </w:r>
    </w:p>
    <w:p>
      <w:pPr>
        <w:jc w:val="both"/>
      </w:pPr>
      <w:r>
        <w:rPr>
          <w:b/>
          <w:i w:val="0"/>
        </w:rPr>
        <w:t>Razonamiento y toma de decisiones.</w:t>
      </w:r>
      <w:r>
        <w:rPr>
          <w:b w:val="0"/>
          <w:i w:val="0"/>
        </w:rPr>
        <w:t xml:space="preserve"> Un modelo de aprendizaje automático entrenado con ejemplos etiquetados produce una probabilidad de cancelación, que el agente combina con reglas de priorización (umbral τ y presupuesto de intervenciones). Para la interpretabilidad se usa una </w:t>
      </w:r>
      <w:r>
        <w:rPr>
          <w:b/>
          <w:i w:val="0"/>
        </w:rPr>
        <w:t>explicación local por oclusión</w:t>
      </w:r>
      <w:r>
        <w:rPr>
          <w:b w:val="0"/>
          <w:i w:val="0"/>
        </w:rPr>
        <w:t xml:space="preserve"> (corregido; antes: SHAP), que indica qué factores aumentaron o redujeron el riesgo estimado.</w:t>
      </w:r>
    </w:p>
    <w:p>
      <w:pPr>
        <w:jc w:val="both"/>
      </w:pPr>
      <w:r>
        <w:rPr>
          <w:b/>
          <w:i w:val="0"/>
        </w:rPr>
        <w:t>Llamada de herramientas y acción (tool calling).</w:t>
      </w:r>
      <w:r>
        <w:rPr>
          <w:b w:val="0"/>
          <w:i w:val="0"/>
        </w:rPr>
        <w:t xml:space="preserve"> Acceso a las fuentes de datos y a la API de marketing: el agente envía los usuarios seleccionados para una acción de retención y almacena el resultado de la intervención.</w:t>
      </w:r>
    </w:p>
    <w:p>
      <w:pPr>
        <w:jc w:val="both"/>
      </w:pPr>
      <w:r>
        <w:rPr>
          <w:b/>
          <w:i w:val="0"/>
        </w:rPr>
        <w:t>Comunicación.</w:t>
      </w:r>
      <w:r>
        <w:rPr>
          <w:b w:val="0"/>
          <w:i w:val="0"/>
        </w:rPr>
        <w:t xml:space="preserve"> Presenta al analista la identificación del usuario, su probabilidad, prioridad, confianza y factores principales, y distingue entre una estimación probabilística y una cancelación confirmada.</w:t>
      </w:r>
    </w:p>
    <w:p>
      <w:pPr>
        <w:jc w:val="both"/>
      </w:pPr>
      <w:r>
        <w:rPr>
          <w:b/>
          <w:i w:val="0"/>
        </w:rPr>
        <w:t>Aprendizaje y adaptación.</w:t>
      </w:r>
      <w:r>
        <w:rPr>
          <w:b w:val="0"/>
          <w:i w:val="0"/>
        </w:rPr>
        <w:t xml:space="preserve"> Cada predicción se vincula con el estado de la suscripción en las cuatro semanas siguientes. Periódicamente se reentrena el modelo y la nueva versión </w:t>
      </w:r>
      <w:r>
        <w:rPr>
          <w:b/>
          <w:i w:val="0"/>
        </w:rPr>
        <w:t>solo se acepta si mantiene o mejora la precisión balanceada</w:t>
      </w:r>
      <w:r>
        <w:rPr>
          <w:b w:val="0"/>
          <w:i w:val="0"/>
        </w:rPr>
        <w:t xml:space="preserve"> en un holdout reciente (corregido: compuerta concreta; se excluyen los usuarios intervenidos).</w:t>
      </w:r>
    </w:p>
    <w:p>
      <w:r>
        <w:br w:type="page"/>
      </w:r>
    </w:p>
    <w:p>
      <w:pPr>
        <w:pStyle w:val="Heading1"/>
      </w:pPr>
      <w:r>
        <w:t>9. Desarrollo del agente</w:t>
      </w:r>
    </w:p>
    <w:p>
      <w:pPr>
        <w:jc w:val="both"/>
      </w:pPr>
      <w:r>
        <w:rPr>
          <w:b w:val="0"/>
          <w:i w:val="0"/>
        </w:rPr>
        <w:t xml:space="preserve">Esta sección describe la implementación. El código, las instrucciones para ejecutarlo y los logs están en el repositorio (https://github.com/criss132/streamretain-agent). Todos los datos que usa el agente son </w:t>
      </w:r>
      <w:r>
        <w:rPr>
          <w:b/>
          <w:i w:val="0"/>
        </w:rPr>
        <w:t>sintéticos</w:t>
      </w:r>
      <w:r>
        <w:rPr>
          <w:b w:val="0"/>
          <w:i w:val="0"/>
        </w:rPr>
        <w:t>: los genera el simulador.</w:t>
      </w:r>
    </w:p>
    <w:p>
      <w:pPr>
        <w:pStyle w:val="Heading2"/>
      </w:pPr>
      <w:r>
        <w:t>9.1 Arquitectura</w:t>
      </w:r>
    </w:p>
    <w:p>
      <w:pPr>
        <w:keepNext/>
        <w:jc w:val="center"/>
      </w:pPr>
      <w:r>
        <w:drawing>
          <wp:inline xmlns:a="http://schemas.openxmlformats.org/drawingml/2006/main" xmlns:pic="http://schemas.openxmlformats.org/drawingml/2006/picture">
            <wp:extent cx="4860000" cy="5855540"/>
            <wp:docPr id="1" name="Picture 1"/>
            <wp:cNvGraphicFramePr>
              <a:graphicFrameLocks noChangeAspect="1"/>
            </wp:cNvGraphicFramePr>
            <a:graphic>
              <a:graphicData uri="http://schemas.openxmlformats.org/drawingml/2006/picture">
                <pic:pic>
                  <pic:nvPicPr>
                    <pic:cNvPr id="0" name="arquitectura.png"/>
                    <pic:cNvPicPr/>
                  </pic:nvPicPr>
                  <pic:blipFill>
                    <a:blip r:embed="rId10"/>
                    <a:stretch>
                      <a:fillRect/>
                    </a:stretch>
                  </pic:blipFill>
                  <pic:spPr>
                    <a:xfrm>
                      <a:off x="0" y="0"/>
                      <a:ext cx="4860000" cy="5855540"/>
                    </a:xfrm>
                    <a:prstGeom prst="rect"/>
                  </pic:spPr>
                </pic:pic>
              </a:graphicData>
            </a:graphic>
          </wp:inline>
        </w:drawing>
      </w:r>
    </w:p>
    <w:p>
      <w:pPr>
        <w:jc w:val="center"/>
      </w:pPr>
      <w:r>
        <w:rPr>
          <w:b/>
          <w:sz w:val="19"/>
        </w:rPr>
        <w:t xml:space="preserve">Figura 1. </w:t>
      </w:r>
      <w:r>
        <w:rPr>
          <w:b w:val="0"/>
          <w:i w:val="0"/>
          <w:sz w:val="19"/>
        </w:rPr>
        <w:t>Diagrama de componentes de StreamRetain-Agent y su entorno simulado.</w:t>
      </w:r>
    </w:p>
    <w:p>
      <w:pPr>
        <w:jc w:val="both"/>
      </w:pPr>
      <w:r>
        <w:rPr>
          <w:b w:val="0"/>
          <w:i w:val="0"/>
        </w:rPr>
        <w:t>La Figura 1 muestra los componentes y cómo se conectan:</w:t>
      </w:r>
    </w:p>
    <w:p>
      <w:pPr>
        <w:pStyle w:val="ListBullet"/>
        <w:spacing w:after="40"/>
      </w:pPr>
      <w:r>
        <w:rPr>
          <w:b/>
          <w:i w:val="0"/>
        </w:rPr>
        <w:t>Sensores:</w:t>
      </w:r>
      <w:r>
        <w:rPr>
          <w:b w:val="0"/>
          <w:i w:val="0"/>
        </w:rPr>
        <w:t xml:space="preserve"> el entorno (</w:t>
      </w:r>
      <w:r>
        <w:rPr>
          <w:rFonts w:ascii="Consolas" w:hAnsi="Consolas" w:eastAsia="Consolas"/>
          <w:b w:val="0"/>
          <w:i w:val="0"/>
        </w:rPr>
        <w:t>StreamingEnv</w:t>
      </w:r>
      <w:r>
        <w:rPr>
          <w:b w:val="0"/>
          <w:i w:val="0"/>
        </w:rPr>
        <w:t>) entrega cada semana un lote crudo de registros.</w:t>
      </w:r>
    </w:p>
    <w:p>
      <w:pPr>
        <w:pStyle w:val="ListBullet"/>
        <w:spacing w:after="40"/>
      </w:pPr>
      <w:r>
        <w:rPr>
          <w:b/>
          <w:i w:val="0"/>
        </w:rPr>
        <w:t>Percepción:</w:t>
      </w:r>
      <w:r>
        <w:rPr>
          <w:b w:val="0"/>
          <w:i w:val="0"/>
        </w:rPr>
        <w:t xml:space="preserve"> valida el lote, lo guarda en la memoria SQLite y construye el estado interno de cada usuario (variables estáticas y de tendencia).</w:t>
      </w:r>
    </w:p>
    <w:p>
      <w:pPr>
        <w:pStyle w:val="ListBullet"/>
        <w:spacing w:after="40"/>
      </w:pPr>
      <w:r>
        <w:rPr>
          <w:b/>
          <w:i w:val="0"/>
        </w:rPr>
        <w:t>Modelo de riesgo:</w:t>
      </w:r>
      <w:r>
        <w:rPr>
          <w:b w:val="0"/>
          <w:i w:val="0"/>
        </w:rPr>
        <w:t xml:space="preserve"> estima la probabilidad de cancelación.</w:t>
      </w:r>
    </w:p>
    <w:p>
      <w:pPr>
        <w:pStyle w:val="ListBullet"/>
        <w:spacing w:after="40"/>
      </w:pPr>
      <w:r>
        <w:rPr>
          <w:b/>
          <w:i w:val="0"/>
        </w:rPr>
        <w:t>Decisión:</w:t>
      </w:r>
      <w:r>
        <w:rPr>
          <w:b w:val="0"/>
          <w:i w:val="0"/>
        </w:rPr>
        <w:t xml:space="preserve"> aplica el umbral τ y el presupuesto de intervenciones.</w:t>
      </w:r>
    </w:p>
    <w:p>
      <w:pPr>
        <w:pStyle w:val="ListBullet"/>
        <w:spacing w:after="40"/>
      </w:pPr>
      <w:r>
        <w:rPr>
          <w:b/>
          <w:i w:val="0"/>
        </w:rPr>
        <w:t>Acción:</w:t>
      </w:r>
      <w:r>
        <w:rPr>
          <w:b w:val="0"/>
          <w:i w:val="0"/>
        </w:rPr>
        <w:t xml:space="preserve"> llama a la API de marketing (servicio externo).</w:t>
      </w:r>
    </w:p>
    <w:p>
      <w:pPr>
        <w:pStyle w:val="ListBullet"/>
        <w:spacing w:after="40"/>
      </w:pPr>
      <w:r>
        <w:rPr>
          <w:b/>
          <w:i w:val="0"/>
        </w:rPr>
        <w:t>Aprendizaje:</w:t>
      </w:r>
      <w:r>
        <w:rPr>
          <w:b w:val="0"/>
          <w:i w:val="0"/>
        </w:rPr>
        <w:t xml:space="preserve"> recibe el resultado a 4 semanas y reentrena el modelo con una compuerta.</w:t>
      </w:r>
    </w:p>
    <w:p>
      <w:pPr>
        <w:pStyle w:val="ListBullet"/>
        <w:spacing w:after="40"/>
      </w:pPr>
      <w:r>
        <w:rPr>
          <w:b/>
          <w:i w:val="0"/>
        </w:rPr>
        <w:t>Interfaz y log:</w:t>
      </w:r>
      <w:r>
        <w:rPr>
          <w:b w:val="0"/>
          <w:i w:val="0"/>
        </w:rPr>
        <w:t xml:space="preserve"> la interfaz Streamlit orquesta los ciclos y el log JSONL registra cada paso con marca de tiempo.</w:t>
      </w:r>
    </w:p>
    <w:p>
      <w:pPr>
        <w:keepNext/>
        <w:spacing w:after="40"/>
      </w:pPr>
      <w:r>
        <w:rPr>
          <w:b/>
          <w:sz w:val="19"/>
        </w:rPr>
        <w:t xml:space="preserve">Tabla 6. </w:t>
      </w:r>
      <w:r>
        <w:rPr>
          <w:b w:val="0"/>
          <w:i w:val="0"/>
          <w:sz w:val="19"/>
        </w:rPr>
        <w:t>Componentes IBM y módulo del código que los implementa.</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2381"/>
            <w:shd w:val="clear" w:color="auto" w:fill="1F3A5F"/>
          </w:tcPr>
          <w:p>
            <w:r/>
            <w:r>
              <w:rPr>
                <w:b/>
                <w:i w:val="0"/>
                <w:color w:val="FFFFFF"/>
                <w:sz w:val="16"/>
              </w:rPr>
              <w:t>Componente IBM</w:t>
            </w:r>
          </w:p>
        </w:tc>
        <w:tc>
          <w:tcPr>
            <w:tcW w:type="dxa" w:w="4706"/>
            <w:shd w:val="clear" w:color="auto" w:fill="1F3A5F"/>
          </w:tcPr>
          <w:p>
            <w:r/>
            <w:r>
              <w:rPr>
                <w:b/>
                <w:i w:val="0"/>
                <w:color w:val="FFFFFF"/>
                <w:sz w:val="16"/>
              </w:rPr>
              <w:t>Módulo</w:t>
            </w:r>
          </w:p>
        </w:tc>
        <w:tc>
          <w:tcPr>
            <w:tcW w:type="dxa" w:w="2551"/>
            <w:shd w:val="clear" w:color="auto" w:fill="1F3A5F"/>
          </w:tcPr>
          <w:p>
            <w:r/>
            <w:r>
              <w:rPr>
                <w:b/>
                <w:i w:val="0"/>
                <w:color w:val="FFFFFF"/>
                <w:sz w:val="16"/>
              </w:rPr>
              <w:t>Estado</w:t>
            </w:r>
          </w:p>
        </w:tc>
      </w:tr>
      <w:tr>
        <w:tc>
          <w:tcPr>
            <w:tcW w:type="dxa" w:w="2381"/>
          </w:tcPr>
          <w:p>
            <w:r/>
            <w:r>
              <w:rPr>
                <w:b w:val="0"/>
                <w:i w:val="0"/>
                <w:sz w:val="16"/>
              </w:rPr>
              <w:t>Percepción y manejo de entradas</w:t>
            </w:r>
          </w:p>
        </w:tc>
        <w:tc>
          <w:tcPr>
            <w:tcW w:type="dxa" w:w="4706"/>
          </w:tcPr>
          <w:p>
            <w:r/>
            <w:r>
              <w:rPr>
                <w:rFonts w:ascii="Consolas" w:hAnsi="Consolas" w:eastAsia="Consolas"/>
                <w:b w:val="0"/>
                <w:i w:val="0"/>
                <w:sz w:val="14"/>
              </w:rPr>
              <w:t>perception.py</w:t>
            </w:r>
            <w:r>
              <w:rPr>
                <w:b w:val="0"/>
                <w:i w:val="0"/>
                <w:sz w:val="16"/>
              </w:rPr>
              <w:t xml:space="preserve"> (</w:t>
            </w:r>
            <w:r>
              <w:rPr>
                <w:rFonts w:ascii="Consolas" w:hAnsi="Consolas" w:eastAsia="Consolas"/>
                <w:b w:val="0"/>
                <w:i w:val="0"/>
                <w:sz w:val="14"/>
              </w:rPr>
              <w:t>validar</w:t>
            </w:r>
            <w:r>
              <w:rPr>
                <w:b w:val="0"/>
                <w:i w:val="0"/>
                <w:sz w:val="16"/>
              </w:rPr>
              <w:t xml:space="preserve">), </w:t>
            </w:r>
            <w:r>
              <w:rPr>
                <w:rFonts w:ascii="Consolas" w:hAnsi="Consolas" w:eastAsia="Consolas"/>
                <w:b w:val="0"/>
                <w:i w:val="0"/>
                <w:sz w:val="14"/>
              </w:rPr>
              <w:t>agent.py</w:t>
            </w:r>
            <w:r>
              <w:rPr>
                <w:b w:val="0"/>
                <w:i w:val="0"/>
                <w:sz w:val="16"/>
              </w:rPr>
              <w:t xml:space="preserve"> (</w:t>
            </w:r>
            <w:r>
              <w:rPr>
                <w:rFonts w:ascii="Consolas" w:hAnsi="Consolas" w:eastAsia="Consolas"/>
                <w:b w:val="0"/>
                <w:i w:val="0"/>
                <w:sz w:val="14"/>
              </w:rPr>
              <w:t>perceive</w:t>
            </w:r>
            <w:r>
              <w:rPr>
                <w:b w:val="0"/>
                <w:i w:val="0"/>
                <w:sz w:val="16"/>
              </w:rPr>
              <w:t xml:space="preserve">), </w:t>
            </w:r>
            <w:r>
              <w:rPr>
                <w:rFonts w:ascii="Consolas" w:hAnsi="Consolas" w:eastAsia="Consolas"/>
                <w:b w:val="0"/>
                <w:i w:val="0"/>
                <w:sz w:val="14"/>
              </w:rPr>
              <w:t>features.py</w:t>
            </w:r>
            <w:r>
              <w:rPr>
                <w:b w:val="0"/>
                <w:i w:val="0"/>
                <w:sz w:val="16"/>
              </w:rPr>
              <w:t xml:space="preserve"> (</w:t>
            </w:r>
            <w:r>
              <w:rPr>
                <w:rFonts w:ascii="Consolas" w:hAnsi="Consolas" w:eastAsia="Consolas"/>
                <w:b w:val="0"/>
                <w:i w:val="0"/>
                <w:sz w:val="14"/>
              </w:rPr>
              <w:t>construir</w:t>
            </w:r>
            <w:r>
              <w:rPr>
                <w:b w:val="0"/>
                <w:i w:val="0"/>
                <w:sz w:val="16"/>
              </w:rPr>
              <w:t>)</w:t>
            </w:r>
          </w:p>
        </w:tc>
        <w:tc>
          <w:tcPr>
            <w:tcW w:type="dxa" w:w="2551"/>
          </w:tcPr>
          <w:p>
            <w:r/>
            <w:r>
              <w:rPr>
                <w:b w:val="0"/>
                <w:i w:val="0"/>
                <w:sz w:val="16"/>
              </w:rPr>
              <w:t>Implementado</w:t>
            </w:r>
          </w:p>
        </w:tc>
      </w:tr>
      <w:tr>
        <w:tc>
          <w:tcPr>
            <w:tcW w:type="dxa" w:w="2381"/>
            <w:shd w:val="clear" w:color="auto" w:fill="EEF2F7"/>
          </w:tcPr>
          <w:p>
            <w:r/>
            <w:r>
              <w:rPr>
                <w:b w:val="0"/>
                <w:i w:val="0"/>
                <w:sz w:val="16"/>
              </w:rPr>
              <w:t>Planificación y descomposición</w:t>
            </w:r>
          </w:p>
        </w:tc>
        <w:tc>
          <w:tcPr>
            <w:tcW w:type="dxa" w:w="4706"/>
            <w:shd w:val="clear" w:color="auto" w:fill="EEF2F7"/>
          </w:tcPr>
          <w:p>
            <w:r/>
            <w:r>
              <w:rPr>
                <w:rFonts w:ascii="Consolas" w:hAnsi="Consolas" w:eastAsia="Consolas"/>
                <w:b w:val="0"/>
                <w:i w:val="0"/>
                <w:sz w:val="14"/>
              </w:rPr>
              <w:t>agent.py</w:t>
            </w:r>
            <w:r>
              <w:rPr>
                <w:b w:val="0"/>
                <w:i w:val="0"/>
                <w:sz w:val="16"/>
              </w:rPr>
              <w:t xml:space="preserve"> (</w:t>
            </w:r>
            <w:r>
              <w:rPr>
                <w:rFonts w:ascii="Consolas" w:hAnsi="Consolas" w:eastAsia="Consolas"/>
                <w:b w:val="0"/>
                <w:i w:val="0"/>
                <w:sz w:val="14"/>
              </w:rPr>
              <w:t>run_cycle</w:t>
            </w:r>
            <w:r>
              <w:rPr>
                <w:b w:val="0"/>
                <w:i w:val="0"/>
                <w:sz w:val="16"/>
              </w:rPr>
              <w:t>: validar → memoria → variables → predecir → priorizar → actuar → registrar → aprender)</w:t>
            </w:r>
          </w:p>
        </w:tc>
        <w:tc>
          <w:tcPr>
            <w:tcW w:type="dxa" w:w="2551"/>
            <w:shd w:val="clear" w:color="auto" w:fill="EEF2F7"/>
          </w:tcPr>
          <w:p>
            <w:r/>
            <w:r>
              <w:rPr>
                <w:b w:val="0"/>
                <w:i w:val="0"/>
                <w:sz w:val="16"/>
              </w:rPr>
              <w:t>Implementado como descomposición fija. No hay un planificador dinámico porque la tarea semanal es siempre la misma.</w:t>
            </w:r>
          </w:p>
        </w:tc>
      </w:tr>
      <w:tr>
        <w:tc>
          <w:tcPr>
            <w:tcW w:type="dxa" w:w="2381"/>
          </w:tcPr>
          <w:p>
            <w:r/>
            <w:r>
              <w:rPr>
                <w:b w:val="0"/>
                <w:i w:val="0"/>
                <w:sz w:val="16"/>
              </w:rPr>
              <w:t>Memoria</w:t>
            </w:r>
          </w:p>
        </w:tc>
        <w:tc>
          <w:tcPr>
            <w:tcW w:type="dxa" w:w="4706"/>
          </w:tcPr>
          <w:p>
            <w:r/>
            <w:r>
              <w:rPr>
                <w:rFonts w:ascii="Consolas" w:hAnsi="Consolas" w:eastAsia="Consolas"/>
                <w:b w:val="0"/>
                <w:i w:val="0"/>
                <w:sz w:val="14"/>
              </w:rPr>
              <w:t>memory.py</w:t>
            </w:r>
            <w:r>
              <w:rPr>
                <w:b w:val="0"/>
                <w:i w:val="0"/>
                <w:sz w:val="16"/>
              </w:rPr>
              <w:t xml:space="preserve"> (SQLite: observaciones, rechazos, predicciones, intervenciones, cola, resultados)</w:t>
            </w:r>
          </w:p>
        </w:tc>
        <w:tc>
          <w:tcPr>
            <w:tcW w:type="dxa" w:w="2551"/>
          </w:tcPr>
          <w:p>
            <w:r/>
            <w:r>
              <w:rPr>
                <w:b w:val="0"/>
                <w:i w:val="0"/>
                <w:sz w:val="16"/>
              </w:rPr>
              <w:t>Implementado</w:t>
            </w:r>
          </w:p>
        </w:tc>
      </w:tr>
      <w:tr>
        <w:tc>
          <w:tcPr>
            <w:tcW w:type="dxa" w:w="2381"/>
            <w:shd w:val="clear" w:color="auto" w:fill="EEF2F7"/>
          </w:tcPr>
          <w:p>
            <w:r/>
            <w:r>
              <w:rPr>
                <w:b w:val="0"/>
                <w:i w:val="0"/>
                <w:sz w:val="16"/>
              </w:rPr>
              <w:t>Razonamiento y toma de decisiones</w:t>
            </w:r>
          </w:p>
        </w:tc>
        <w:tc>
          <w:tcPr>
            <w:tcW w:type="dxa" w:w="4706"/>
            <w:shd w:val="clear" w:color="auto" w:fill="EEF2F7"/>
          </w:tcPr>
          <w:p>
            <w:r/>
            <w:r>
              <w:rPr>
                <w:rFonts w:ascii="Consolas" w:hAnsi="Consolas" w:eastAsia="Consolas"/>
                <w:b w:val="0"/>
                <w:i w:val="0"/>
                <w:sz w:val="14"/>
              </w:rPr>
              <w:t>model.py</w:t>
            </w:r>
            <w:r>
              <w:rPr>
                <w:b w:val="0"/>
                <w:i w:val="0"/>
                <w:sz w:val="16"/>
              </w:rPr>
              <w:t xml:space="preserve"> (</w:t>
            </w:r>
            <w:r>
              <w:rPr>
                <w:rFonts w:ascii="Consolas" w:hAnsi="Consolas" w:eastAsia="Consolas"/>
                <w:b w:val="0"/>
                <w:i w:val="0"/>
                <w:sz w:val="14"/>
              </w:rPr>
              <w:t>ModeloRiesgo.predecir</w:t>
            </w:r>
            <w:r>
              <w:rPr>
                <w:b w:val="0"/>
                <w:i w:val="0"/>
                <w:sz w:val="16"/>
              </w:rPr>
              <w:t xml:space="preserve">, </w:t>
            </w:r>
            <w:r>
              <w:rPr>
                <w:rFonts w:ascii="Consolas" w:hAnsi="Consolas" w:eastAsia="Consolas"/>
                <w:b w:val="0"/>
                <w:i w:val="0"/>
                <w:sz w:val="14"/>
              </w:rPr>
              <w:t>explicar</w:t>
            </w:r>
            <w:r>
              <w:rPr>
                <w:b w:val="0"/>
                <w:i w:val="0"/>
                <w:sz w:val="16"/>
              </w:rPr>
              <w:t xml:space="preserve">), </w:t>
            </w:r>
            <w:r>
              <w:rPr>
                <w:rFonts w:ascii="Consolas" w:hAnsi="Consolas" w:eastAsia="Consolas"/>
                <w:b w:val="0"/>
                <w:i w:val="0"/>
                <w:sz w:val="14"/>
              </w:rPr>
              <w:t>decision.py</w:t>
            </w:r>
            <w:r>
              <w:rPr>
                <w:b w:val="0"/>
                <w:i w:val="0"/>
                <w:sz w:val="16"/>
              </w:rPr>
              <w:t xml:space="preserve"> (</w:t>
            </w:r>
            <w:r>
              <w:rPr>
                <w:rFonts w:ascii="Consolas" w:hAnsi="Consolas" w:eastAsia="Consolas"/>
                <w:b w:val="0"/>
                <w:i w:val="0"/>
                <w:sz w:val="14"/>
              </w:rPr>
              <w:t>decidir</w:t>
            </w:r>
            <w:r>
              <w:rPr>
                <w:b w:val="0"/>
                <w:i w:val="0"/>
                <w:sz w:val="16"/>
              </w:rPr>
              <w:t>)</w:t>
            </w:r>
          </w:p>
        </w:tc>
        <w:tc>
          <w:tcPr>
            <w:tcW w:type="dxa" w:w="2551"/>
            <w:shd w:val="clear" w:color="auto" w:fill="EEF2F7"/>
          </w:tcPr>
          <w:p>
            <w:r/>
            <w:r>
              <w:rPr>
                <w:b w:val="0"/>
                <w:i w:val="0"/>
                <w:sz w:val="16"/>
              </w:rPr>
              <w:t>Implementado (oclusión en lugar de SHAP)</w:t>
            </w:r>
          </w:p>
        </w:tc>
      </w:tr>
      <w:tr>
        <w:tc>
          <w:tcPr>
            <w:tcW w:type="dxa" w:w="2381"/>
          </w:tcPr>
          <w:p>
            <w:r/>
            <w:r>
              <w:rPr>
                <w:b w:val="0"/>
                <w:i w:val="0"/>
                <w:sz w:val="16"/>
              </w:rPr>
              <w:t>Llamada de herramientas</w:t>
            </w:r>
          </w:p>
        </w:tc>
        <w:tc>
          <w:tcPr>
            <w:tcW w:type="dxa" w:w="4706"/>
          </w:tcPr>
          <w:p>
            <w:r/>
            <w:r>
              <w:rPr>
                <w:rFonts w:ascii="Consolas" w:hAnsi="Consolas" w:eastAsia="Consolas"/>
                <w:b w:val="0"/>
                <w:i w:val="0"/>
                <w:sz w:val="14"/>
              </w:rPr>
              <w:t>env/simulator.py</w:t>
            </w:r>
            <w:r>
              <w:rPr>
                <w:b w:val="0"/>
                <w:i w:val="0"/>
                <w:sz w:val="16"/>
              </w:rPr>
              <w:t xml:space="preserve"> (</w:t>
            </w:r>
            <w:r>
              <w:rPr>
                <w:rFonts w:ascii="Consolas" w:hAnsi="Consolas" w:eastAsia="Consolas"/>
                <w:b w:val="0"/>
                <w:i w:val="0"/>
                <w:sz w:val="14"/>
              </w:rPr>
              <w:t>MarketingAPI.activate_offer</w:t>
            </w:r>
            <w:r>
              <w:rPr>
                <w:b w:val="0"/>
                <w:i w:val="0"/>
                <w:sz w:val="16"/>
              </w:rPr>
              <w:t xml:space="preserve">), </w:t>
            </w:r>
            <w:r>
              <w:rPr>
                <w:rFonts w:ascii="Consolas" w:hAnsi="Consolas" w:eastAsia="Consolas"/>
                <w:b w:val="0"/>
                <w:i w:val="0"/>
                <w:sz w:val="14"/>
              </w:rPr>
              <w:t>agent.py</w:t>
            </w:r>
            <w:r>
              <w:rPr>
                <w:b w:val="0"/>
                <w:i w:val="0"/>
                <w:sz w:val="16"/>
              </w:rPr>
              <w:t xml:space="preserve"> (</w:t>
            </w:r>
            <w:r>
              <w:rPr>
                <w:rFonts w:ascii="Consolas" w:hAnsi="Consolas" w:eastAsia="Consolas"/>
                <w:b w:val="0"/>
                <w:i w:val="0"/>
                <w:sz w:val="14"/>
              </w:rPr>
              <w:t>act</w:t>
            </w:r>
            <w:r>
              <w:rPr>
                <w:b w:val="0"/>
                <w:i w:val="0"/>
                <w:sz w:val="16"/>
              </w:rPr>
              <w:t>)</w:t>
            </w:r>
          </w:p>
        </w:tc>
        <w:tc>
          <w:tcPr>
            <w:tcW w:type="dxa" w:w="2551"/>
          </w:tcPr>
          <w:p>
            <w:r/>
            <w:r>
              <w:rPr>
                <w:b w:val="0"/>
                <w:i w:val="0"/>
                <w:sz w:val="16"/>
              </w:rPr>
              <w:t>Implementado contra una API simulada. No hay integración con un sistema real.</w:t>
            </w:r>
          </w:p>
        </w:tc>
      </w:tr>
      <w:tr>
        <w:tc>
          <w:tcPr>
            <w:tcW w:type="dxa" w:w="2381"/>
            <w:shd w:val="clear" w:color="auto" w:fill="EEF2F7"/>
          </w:tcPr>
          <w:p>
            <w:r/>
            <w:r>
              <w:rPr>
                <w:b w:val="0"/>
                <w:i w:val="0"/>
                <w:sz w:val="16"/>
              </w:rPr>
              <w:t>Comunicación</w:t>
            </w:r>
          </w:p>
        </w:tc>
        <w:tc>
          <w:tcPr>
            <w:tcW w:type="dxa" w:w="4706"/>
            <w:shd w:val="clear" w:color="auto" w:fill="EEF2F7"/>
          </w:tcPr>
          <w:p>
            <w:r/>
            <w:r>
              <w:rPr>
                <w:rFonts w:ascii="Consolas" w:hAnsi="Consolas" w:eastAsia="Consolas"/>
                <w:b w:val="0"/>
                <w:i w:val="0"/>
                <w:sz w:val="14"/>
              </w:rPr>
              <w:t>app/streamlit_app.py</w:t>
            </w:r>
            <w:r>
              <w:rPr>
                <w:b w:val="0"/>
                <w:i w:val="0"/>
                <w:sz w:val="16"/>
              </w:rPr>
              <w:t xml:space="preserve"> (tabla de riesgo, prioridad, confianza y factores), </w:t>
            </w:r>
            <w:r>
              <w:rPr>
                <w:rFonts w:ascii="Consolas" w:hAnsi="Consolas" w:eastAsia="Consolas"/>
                <w:b w:val="0"/>
                <w:i w:val="0"/>
                <w:sz w:val="14"/>
              </w:rPr>
              <w:t>logging_utils.py</w:t>
            </w:r>
          </w:p>
        </w:tc>
        <w:tc>
          <w:tcPr>
            <w:tcW w:type="dxa" w:w="2551"/>
            <w:shd w:val="clear" w:color="auto" w:fill="EEF2F7"/>
          </w:tcPr>
          <w:p>
            <w:r/>
            <w:r>
              <w:rPr>
                <w:b w:val="0"/>
                <w:i w:val="0"/>
                <w:sz w:val="16"/>
              </w:rPr>
              <w:t>Implementado. No envía notificaciones a otros sistemas.</w:t>
            </w:r>
          </w:p>
        </w:tc>
      </w:tr>
      <w:tr>
        <w:tc>
          <w:tcPr>
            <w:tcW w:type="dxa" w:w="2381"/>
          </w:tcPr>
          <w:p>
            <w:r/>
            <w:r>
              <w:rPr>
                <w:b w:val="0"/>
                <w:i w:val="0"/>
                <w:sz w:val="16"/>
              </w:rPr>
              <w:t>Aprendizaje y adaptación</w:t>
            </w:r>
          </w:p>
        </w:tc>
        <w:tc>
          <w:tcPr>
            <w:tcW w:type="dxa" w:w="4706"/>
          </w:tcPr>
          <w:p>
            <w:r/>
            <w:r>
              <w:rPr>
                <w:rFonts w:ascii="Consolas" w:hAnsi="Consolas" w:eastAsia="Consolas"/>
                <w:b w:val="0"/>
                <w:i w:val="0"/>
                <w:sz w:val="14"/>
              </w:rPr>
              <w:t>agent.py</w:t>
            </w:r>
            <w:r>
              <w:rPr>
                <w:b w:val="0"/>
                <w:i w:val="0"/>
                <w:sz w:val="16"/>
              </w:rPr>
              <w:t xml:space="preserve"> (</w:t>
            </w:r>
            <w:r>
              <w:rPr>
                <w:rFonts w:ascii="Consolas" w:hAnsi="Consolas" w:eastAsia="Consolas"/>
                <w:b w:val="0"/>
                <w:i w:val="0"/>
                <w:sz w:val="14"/>
              </w:rPr>
              <w:t>learn</w:t>
            </w:r>
            <w:r>
              <w:rPr>
                <w:b w:val="0"/>
                <w:i w:val="0"/>
                <w:sz w:val="16"/>
              </w:rPr>
              <w:t xml:space="preserve">, </w:t>
            </w:r>
            <w:r>
              <w:rPr>
                <w:rFonts w:ascii="Consolas" w:hAnsi="Consolas" w:eastAsia="Consolas"/>
                <w:b w:val="0"/>
                <w:i w:val="0"/>
                <w:sz w:val="14"/>
              </w:rPr>
              <w:t>_reentrenar</w:t>
            </w:r>
            <w:r>
              <w:rPr>
                <w:b w:val="0"/>
                <w:i w:val="0"/>
                <w:sz w:val="16"/>
              </w:rPr>
              <w:t xml:space="preserve">), </w:t>
            </w:r>
            <w:r>
              <w:rPr>
                <w:rFonts w:ascii="Consolas" w:hAnsi="Consolas" w:eastAsia="Consolas"/>
                <w:b w:val="0"/>
                <w:i w:val="0"/>
                <w:sz w:val="14"/>
              </w:rPr>
              <w:t>scripts/train_initial.py</w:t>
            </w:r>
          </w:p>
        </w:tc>
        <w:tc>
          <w:tcPr>
            <w:tcW w:type="dxa" w:w="2551"/>
          </w:tcPr>
          <w:p>
            <w:r/>
            <w:r>
              <w:rPr>
                <w:b w:val="0"/>
                <w:i w:val="0"/>
                <w:sz w:val="16"/>
              </w:rPr>
              <w:t>Implementado</w:t>
            </w:r>
          </w:p>
        </w:tc>
      </w:tr>
    </w:tbl>
    <w:p>
      <w:pPr>
        <w:spacing w:after="40"/>
      </w:pPr>
    </w:p>
    <w:p>
      <w:pPr>
        <w:pStyle w:val="Heading2"/>
      </w:pPr>
      <w:r>
        <w:t>9.2 Tecnologías</w:t>
      </w:r>
    </w:p>
    <w:p>
      <w:pPr>
        <w:keepNext/>
        <w:spacing w:after="40"/>
      </w:pPr>
      <w:r>
        <w:rPr>
          <w:b/>
          <w:sz w:val="19"/>
        </w:rPr>
        <w:t xml:space="preserve">Tabla 7. </w:t>
      </w:r>
      <w:r>
        <w:rPr>
          <w:b w:val="0"/>
          <w:i w:val="0"/>
          <w:sz w:val="19"/>
        </w:rPr>
        <w:t>Tecnologías utilizadas.</w:t>
      </w:r>
    </w:p>
    <w:tbl>
      <w:tblPr>
        <w:tblStyle w:val="TableGrid"/>
        <w:tblW w:type="auto" w:w="0"/>
        <w:jc w:val="center"/>
        <w:tblLook w:firstColumn="1" w:firstRow="1" w:lastColumn="0" w:lastRow="0" w:noHBand="0" w:noVBand="1" w:val="04A0"/>
      </w:tblPr>
      <w:tblGrid>
        <w:gridCol w:w="2408"/>
        <w:gridCol w:w="2408"/>
        <w:gridCol w:w="2408"/>
        <w:gridCol w:w="2408"/>
      </w:tblGrid>
      <w:tr>
        <w:trPr>
          <w:tblHeader w:val="true"/>
        </w:trPr>
        <w:tc>
          <w:tcPr>
            <w:tcW w:type="dxa" w:w="1587"/>
            <w:shd w:val="clear" w:color="auto" w:fill="1F3A5F"/>
          </w:tcPr>
          <w:p>
            <w:r/>
            <w:r>
              <w:rPr>
                <w:b/>
                <w:i w:val="0"/>
                <w:color w:val="FFFFFF"/>
                <w:sz w:val="16"/>
              </w:rPr>
              <w:t>Tecnología</w:t>
            </w:r>
          </w:p>
        </w:tc>
        <w:tc>
          <w:tcPr>
            <w:tcW w:type="dxa" w:w="1304"/>
            <w:shd w:val="clear" w:color="auto" w:fill="1F3A5F"/>
          </w:tcPr>
          <w:p>
            <w:r/>
            <w:r>
              <w:rPr>
                <w:b/>
                <w:i w:val="0"/>
                <w:color w:val="FFFFFF"/>
                <w:sz w:val="16"/>
              </w:rPr>
              <w:t>Versión</w:t>
            </w:r>
          </w:p>
        </w:tc>
        <w:tc>
          <w:tcPr>
            <w:tcW w:type="dxa" w:w="3288"/>
            <w:shd w:val="clear" w:color="auto" w:fill="1F3A5F"/>
          </w:tcPr>
          <w:p>
            <w:r/>
            <w:r>
              <w:rPr>
                <w:b/>
                <w:i w:val="0"/>
                <w:color w:val="FFFFFF"/>
                <w:sz w:val="16"/>
              </w:rPr>
              <w:t>Para qué se usó</w:t>
            </w:r>
          </w:p>
        </w:tc>
        <w:tc>
          <w:tcPr>
            <w:tcW w:type="dxa" w:w="3458"/>
            <w:shd w:val="clear" w:color="auto" w:fill="1F3A5F"/>
          </w:tcPr>
          <w:p>
            <w:r/>
            <w:r>
              <w:rPr>
                <w:b/>
                <w:i w:val="0"/>
                <w:color w:val="FFFFFF"/>
                <w:sz w:val="16"/>
              </w:rPr>
              <w:t>Por qué frente a una alternativa</w:t>
            </w:r>
          </w:p>
        </w:tc>
      </w:tr>
      <w:tr>
        <w:tc>
          <w:tcPr>
            <w:tcW w:type="dxa" w:w="1587"/>
          </w:tcPr>
          <w:p>
            <w:r/>
            <w:r>
              <w:rPr>
                <w:b w:val="0"/>
                <w:i w:val="0"/>
                <w:sz w:val="16"/>
              </w:rPr>
              <w:t>Python</w:t>
            </w:r>
          </w:p>
        </w:tc>
        <w:tc>
          <w:tcPr>
            <w:tcW w:type="dxa" w:w="1304"/>
          </w:tcPr>
          <w:p>
            <w:r/>
            <w:r>
              <w:rPr>
                <w:b w:val="0"/>
                <w:i w:val="0"/>
                <w:sz w:val="16"/>
              </w:rPr>
              <w:t>3.13.0</w:t>
            </w:r>
          </w:p>
        </w:tc>
        <w:tc>
          <w:tcPr>
            <w:tcW w:type="dxa" w:w="3288"/>
          </w:tcPr>
          <w:p>
            <w:r/>
            <w:r>
              <w:rPr>
                <w:b w:val="0"/>
                <w:i w:val="0"/>
                <w:sz w:val="16"/>
              </w:rPr>
              <w:t>Lenguaje de todo el agente</w:t>
            </w:r>
          </w:p>
        </w:tc>
        <w:tc>
          <w:tcPr>
            <w:tcW w:type="dxa" w:w="3458"/>
          </w:tcPr>
          <w:p>
            <w:r/>
            <w:r>
              <w:rPr>
                <w:b w:val="0"/>
                <w:i w:val="0"/>
                <w:sz w:val="16"/>
              </w:rPr>
              <w:t>Ecosistema de ML maduro y conocido por la pareja; Java o R exigirían más código propio</w:t>
            </w:r>
          </w:p>
        </w:tc>
      </w:tr>
      <w:tr>
        <w:tc>
          <w:tcPr>
            <w:tcW w:type="dxa" w:w="1587"/>
            <w:shd w:val="clear" w:color="auto" w:fill="EEF2F7"/>
          </w:tcPr>
          <w:p>
            <w:r/>
            <w:r>
              <w:rPr>
                <w:b w:val="0"/>
                <w:i w:val="0"/>
                <w:sz w:val="16"/>
              </w:rPr>
              <w:t>NumPy / pandas</w:t>
            </w:r>
          </w:p>
        </w:tc>
        <w:tc>
          <w:tcPr>
            <w:tcW w:type="dxa" w:w="1304"/>
            <w:shd w:val="clear" w:color="auto" w:fill="EEF2F7"/>
          </w:tcPr>
          <w:p>
            <w:r/>
            <w:r>
              <w:rPr>
                <w:b w:val="0"/>
                <w:i w:val="0"/>
                <w:sz w:val="16"/>
              </w:rPr>
              <w:t>2.5.4 / 3.0.6</w:t>
            </w:r>
          </w:p>
        </w:tc>
        <w:tc>
          <w:tcPr>
            <w:tcW w:type="dxa" w:w="3288"/>
            <w:shd w:val="clear" w:color="auto" w:fill="EEF2F7"/>
          </w:tcPr>
          <w:p>
            <w:r/>
            <w:r>
              <w:rPr>
                <w:b w:val="0"/>
                <w:i w:val="0"/>
                <w:sz w:val="16"/>
              </w:rPr>
              <w:t>Simulador vectorizado, variables, tablas de resultados</w:t>
            </w:r>
          </w:p>
        </w:tc>
        <w:tc>
          <w:tcPr>
            <w:tcW w:type="dxa" w:w="3458"/>
            <w:shd w:val="clear" w:color="auto" w:fill="EEF2F7"/>
          </w:tcPr>
          <w:p>
            <w:r/>
            <w:r>
              <w:rPr>
                <w:b w:val="0"/>
                <w:i w:val="0"/>
                <w:sz w:val="16"/>
              </w:rPr>
              <w:t>Estándar para datos tabulares; Polars sería más rápido pero es menos conocido</w:t>
            </w:r>
          </w:p>
        </w:tc>
      </w:tr>
      <w:tr>
        <w:tc>
          <w:tcPr>
            <w:tcW w:type="dxa" w:w="1587"/>
          </w:tcPr>
          <w:p>
            <w:r/>
            <w:r>
              <w:rPr>
                <w:b w:val="0"/>
                <w:i w:val="0"/>
                <w:sz w:val="16"/>
              </w:rPr>
              <w:t>scikit-learn</w:t>
            </w:r>
          </w:p>
        </w:tc>
        <w:tc>
          <w:tcPr>
            <w:tcW w:type="dxa" w:w="1304"/>
          </w:tcPr>
          <w:p>
            <w:r/>
            <w:r>
              <w:rPr>
                <w:b w:val="0"/>
                <w:i w:val="0"/>
                <w:sz w:val="16"/>
              </w:rPr>
              <w:t>1.9.1</w:t>
            </w:r>
          </w:p>
        </w:tc>
        <w:tc>
          <w:tcPr>
            <w:tcW w:type="dxa" w:w="3288"/>
          </w:tcPr>
          <w:p>
            <w:r/>
            <w:r>
              <w:rPr>
                <w:b w:val="0"/>
                <w:i w:val="0"/>
                <w:sz w:val="16"/>
              </w:rPr>
              <w:t>Regresión logística, HistGradientBoosting, calibración isotónica, AUC y ROC (Pedregosa et al., 2011)</w:t>
            </w:r>
          </w:p>
        </w:tc>
        <w:tc>
          <w:tcPr>
            <w:tcW w:type="dxa" w:w="3458"/>
          </w:tcPr>
          <w:p>
            <w:r/>
            <w:r>
              <w:rPr>
                <w:b w:val="0"/>
                <w:i w:val="0"/>
                <w:sz w:val="16"/>
              </w:rPr>
              <w:t>API uniforme para comparar candidatos; XGBoost no aportaba ventaja a este tamaño de datos</w:t>
            </w:r>
          </w:p>
        </w:tc>
      </w:tr>
      <w:tr>
        <w:tc>
          <w:tcPr>
            <w:tcW w:type="dxa" w:w="1587"/>
            <w:shd w:val="clear" w:color="auto" w:fill="EEF2F7"/>
          </w:tcPr>
          <w:p>
            <w:r/>
            <w:r>
              <w:rPr>
                <w:b w:val="0"/>
                <w:i w:val="0"/>
                <w:sz w:val="16"/>
              </w:rPr>
              <w:t>SciPy</w:t>
            </w:r>
          </w:p>
        </w:tc>
        <w:tc>
          <w:tcPr>
            <w:tcW w:type="dxa" w:w="1304"/>
            <w:shd w:val="clear" w:color="auto" w:fill="EEF2F7"/>
          </w:tcPr>
          <w:p>
            <w:r/>
            <w:r>
              <w:rPr>
                <w:b w:val="0"/>
                <w:i w:val="0"/>
                <w:sz w:val="16"/>
              </w:rPr>
              <w:t>1.18.1</w:t>
            </w:r>
          </w:p>
        </w:tc>
        <w:tc>
          <w:tcPr>
            <w:tcW w:type="dxa" w:w="3288"/>
            <w:shd w:val="clear" w:color="auto" w:fill="EEF2F7"/>
          </w:tcPr>
          <w:p>
            <w:r/>
            <w:r>
              <w:rPr>
                <w:b w:val="0"/>
                <w:i w:val="0"/>
                <w:sz w:val="16"/>
              </w:rPr>
              <w:t>Muestreo de los días sin login (Poisson)</w:t>
            </w:r>
          </w:p>
        </w:tc>
        <w:tc>
          <w:tcPr>
            <w:tcW w:type="dxa" w:w="3458"/>
            <w:shd w:val="clear" w:color="auto" w:fill="EEF2F7"/>
          </w:tcPr>
          <w:p>
            <w:r/>
            <w:r>
              <w:rPr>
                <w:b w:val="0"/>
                <w:i w:val="0"/>
                <w:sz w:val="16"/>
              </w:rPr>
              <w:t>Ya viene con scikit-learn</w:t>
            </w:r>
          </w:p>
        </w:tc>
      </w:tr>
      <w:tr>
        <w:tc>
          <w:tcPr>
            <w:tcW w:type="dxa" w:w="1587"/>
          </w:tcPr>
          <w:p>
            <w:r/>
            <w:r>
              <w:rPr>
                <w:b w:val="0"/>
                <w:i w:val="0"/>
                <w:sz w:val="16"/>
              </w:rPr>
              <w:t>SQLite (sqlite3)</w:t>
            </w:r>
          </w:p>
        </w:tc>
        <w:tc>
          <w:tcPr>
            <w:tcW w:type="dxa" w:w="1304"/>
          </w:tcPr>
          <w:p>
            <w:r/>
            <w:r>
              <w:rPr>
                <w:b w:val="0"/>
                <w:i w:val="0"/>
                <w:sz w:val="16"/>
              </w:rPr>
              <w:t>3.45.3</w:t>
            </w:r>
          </w:p>
        </w:tc>
        <w:tc>
          <w:tcPr>
            <w:tcW w:type="dxa" w:w="3288"/>
          </w:tcPr>
          <w:p>
            <w:r/>
            <w:r>
              <w:rPr>
                <w:b w:val="0"/>
                <w:i w:val="0"/>
                <w:sz w:val="16"/>
              </w:rPr>
              <w:t>Memoria persistente del agente</w:t>
            </w:r>
          </w:p>
        </w:tc>
        <w:tc>
          <w:tcPr>
            <w:tcW w:type="dxa" w:w="3458"/>
          </w:tcPr>
          <w:p>
            <w:r/>
            <w:r>
              <w:rPr>
                <w:b w:val="0"/>
                <w:i w:val="0"/>
                <w:sz w:val="16"/>
              </w:rPr>
              <w:t>Incluido en Python; sin servidor (frente a PostgreSQL)</w:t>
            </w:r>
          </w:p>
        </w:tc>
      </w:tr>
      <w:tr>
        <w:tc>
          <w:tcPr>
            <w:tcW w:type="dxa" w:w="1587"/>
            <w:shd w:val="clear" w:color="auto" w:fill="EEF2F7"/>
          </w:tcPr>
          <w:p>
            <w:r/>
            <w:r>
              <w:rPr>
                <w:b w:val="0"/>
                <w:i w:val="0"/>
                <w:sz w:val="16"/>
              </w:rPr>
              <w:t>Streamlit</w:t>
            </w:r>
          </w:p>
        </w:tc>
        <w:tc>
          <w:tcPr>
            <w:tcW w:type="dxa" w:w="1304"/>
            <w:shd w:val="clear" w:color="auto" w:fill="EEF2F7"/>
          </w:tcPr>
          <w:p>
            <w:r/>
            <w:r>
              <w:rPr>
                <w:b w:val="0"/>
                <w:i w:val="0"/>
                <w:sz w:val="16"/>
              </w:rPr>
              <w:t>1.66.0</w:t>
            </w:r>
          </w:p>
        </w:tc>
        <w:tc>
          <w:tcPr>
            <w:tcW w:type="dxa" w:w="3288"/>
            <w:shd w:val="clear" w:color="auto" w:fill="EEF2F7"/>
          </w:tcPr>
          <w:p>
            <w:r/>
            <w:r>
              <w:rPr>
                <w:b w:val="0"/>
                <w:i w:val="0"/>
                <w:sz w:val="16"/>
              </w:rPr>
              <w:t>Interfaz y despliegue (evidencia)</w:t>
            </w:r>
          </w:p>
        </w:tc>
        <w:tc>
          <w:tcPr>
            <w:tcW w:type="dxa" w:w="3458"/>
            <w:shd w:val="clear" w:color="auto" w:fill="EEF2F7"/>
          </w:tcPr>
          <w:p>
            <w:r/>
            <w:r>
              <w:rPr>
                <w:b w:val="0"/>
                <w:i w:val="0"/>
                <w:sz w:val="16"/>
              </w:rPr>
              <w:t>Despliegue gratuito desde GitHub; Flask requiere más código de interfaz</w:t>
            </w:r>
          </w:p>
        </w:tc>
      </w:tr>
      <w:tr>
        <w:tc>
          <w:tcPr>
            <w:tcW w:type="dxa" w:w="1587"/>
          </w:tcPr>
          <w:p>
            <w:r/>
            <w:r>
              <w:rPr>
                <w:b w:val="0"/>
                <w:i w:val="0"/>
                <w:sz w:val="16"/>
              </w:rPr>
              <w:t>PyYAML</w:t>
            </w:r>
          </w:p>
        </w:tc>
        <w:tc>
          <w:tcPr>
            <w:tcW w:type="dxa" w:w="1304"/>
          </w:tcPr>
          <w:p>
            <w:r/>
            <w:r>
              <w:rPr>
                <w:b w:val="0"/>
                <w:i w:val="0"/>
                <w:sz w:val="16"/>
              </w:rPr>
              <w:t>6.0.3</w:t>
            </w:r>
          </w:p>
        </w:tc>
        <w:tc>
          <w:tcPr>
            <w:tcW w:type="dxa" w:w="3288"/>
          </w:tcPr>
          <w:p>
            <w:r/>
            <w:r>
              <w:rPr>
                <w:b w:val="0"/>
                <w:i w:val="0"/>
                <w:sz w:val="16"/>
              </w:rPr>
              <w:t>Configuración de escenarios, umbrales y matriz</w:t>
            </w:r>
          </w:p>
        </w:tc>
        <w:tc>
          <w:tcPr>
            <w:tcW w:type="dxa" w:w="3458"/>
          </w:tcPr>
          <w:p>
            <w:r/>
            <w:r>
              <w:rPr>
                <w:b w:val="0"/>
                <w:i w:val="0"/>
                <w:sz w:val="16"/>
              </w:rPr>
              <w:t>Legible y versionable (frente a JSON)</w:t>
            </w:r>
          </w:p>
        </w:tc>
      </w:tr>
      <w:tr>
        <w:tc>
          <w:tcPr>
            <w:tcW w:type="dxa" w:w="1587"/>
            <w:shd w:val="clear" w:color="auto" w:fill="EEF2F7"/>
          </w:tcPr>
          <w:p>
            <w:r/>
            <w:r>
              <w:rPr>
                <w:b w:val="0"/>
                <w:i w:val="0"/>
                <w:sz w:val="16"/>
              </w:rPr>
              <w:t>matplotlib</w:t>
            </w:r>
          </w:p>
        </w:tc>
        <w:tc>
          <w:tcPr>
            <w:tcW w:type="dxa" w:w="1304"/>
            <w:shd w:val="clear" w:color="auto" w:fill="EEF2F7"/>
          </w:tcPr>
          <w:p>
            <w:r/>
            <w:r>
              <w:rPr>
                <w:b w:val="0"/>
                <w:i w:val="0"/>
                <w:sz w:val="16"/>
              </w:rPr>
              <w:t>3.11.2</w:t>
            </w:r>
          </w:p>
        </w:tc>
        <w:tc>
          <w:tcPr>
            <w:tcW w:type="dxa" w:w="3288"/>
            <w:shd w:val="clear" w:color="auto" w:fill="EEF2F7"/>
          </w:tcPr>
          <w:p>
            <w:r/>
            <w:r>
              <w:rPr>
                <w:b w:val="0"/>
                <w:i w:val="0"/>
                <w:sz w:val="16"/>
              </w:rPr>
              <w:t>Figuras de resultados</w:t>
            </w:r>
          </w:p>
        </w:tc>
        <w:tc>
          <w:tcPr>
            <w:tcW w:type="dxa" w:w="3458"/>
            <w:shd w:val="clear" w:color="auto" w:fill="EEF2F7"/>
          </w:tcPr>
          <w:p>
            <w:r/>
            <w:r>
              <w:rPr>
                <w:b w:val="0"/>
                <w:i w:val="0"/>
                <w:sz w:val="16"/>
              </w:rPr>
              <w:t>Estándar; sin dependencias de navegador</w:t>
            </w:r>
          </w:p>
        </w:tc>
      </w:tr>
      <w:tr>
        <w:tc>
          <w:tcPr>
            <w:tcW w:type="dxa" w:w="1587"/>
          </w:tcPr>
          <w:p>
            <w:r/>
            <w:r>
              <w:rPr>
                <w:b w:val="0"/>
                <w:i w:val="0"/>
                <w:sz w:val="16"/>
              </w:rPr>
              <w:t>joblib</w:t>
            </w:r>
          </w:p>
        </w:tc>
        <w:tc>
          <w:tcPr>
            <w:tcW w:type="dxa" w:w="1304"/>
          </w:tcPr>
          <w:p>
            <w:r/>
            <w:r>
              <w:rPr>
                <w:b w:val="0"/>
                <w:i w:val="0"/>
                <w:sz w:val="16"/>
              </w:rPr>
              <w:t>1.6.0</w:t>
            </w:r>
          </w:p>
        </w:tc>
        <w:tc>
          <w:tcPr>
            <w:tcW w:type="dxa" w:w="3288"/>
          </w:tcPr>
          <w:p>
            <w:r/>
            <w:r>
              <w:rPr>
                <w:b w:val="0"/>
                <w:i w:val="0"/>
                <w:sz w:val="16"/>
              </w:rPr>
              <w:t>Guardar modelos y paralelizar la evaluación</w:t>
            </w:r>
          </w:p>
        </w:tc>
        <w:tc>
          <w:tcPr>
            <w:tcW w:type="dxa" w:w="3458"/>
          </w:tcPr>
          <w:p>
            <w:r/>
            <w:r>
              <w:rPr>
                <w:b w:val="0"/>
                <w:i w:val="0"/>
                <w:sz w:val="16"/>
              </w:rPr>
              <w:t>Incluido con scikit-learn</w:t>
            </w:r>
          </w:p>
        </w:tc>
      </w:tr>
      <w:tr>
        <w:tc>
          <w:tcPr>
            <w:tcW w:type="dxa" w:w="1587"/>
            <w:shd w:val="clear" w:color="auto" w:fill="EEF2F7"/>
          </w:tcPr>
          <w:p>
            <w:r/>
            <w:r>
              <w:rPr>
                <w:b w:val="0"/>
                <w:i w:val="0"/>
                <w:sz w:val="16"/>
              </w:rPr>
              <w:t>pytest</w:t>
            </w:r>
          </w:p>
        </w:tc>
        <w:tc>
          <w:tcPr>
            <w:tcW w:type="dxa" w:w="1304"/>
            <w:shd w:val="clear" w:color="auto" w:fill="EEF2F7"/>
          </w:tcPr>
          <w:p>
            <w:r/>
            <w:r>
              <w:rPr>
                <w:b w:val="0"/>
                <w:i w:val="0"/>
                <w:sz w:val="16"/>
              </w:rPr>
              <w:t>9.1.1</w:t>
            </w:r>
          </w:p>
        </w:tc>
        <w:tc>
          <w:tcPr>
            <w:tcW w:type="dxa" w:w="3288"/>
            <w:shd w:val="clear" w:color="auto" w:fill="EEF2F7"/>
          </w:tcPr>
          <w:p>
            <w:r/>
            <w:r>
              <w:rPr>
                <w:b w:val="0"/>
                <w:i w:val="0"/>
                <w:sz w:val="16"/>
              </w:rPr>
              <w:t>Pruebas unitarias y de integración</w:t>
            </w:r>
          </w:p>
        </w:tc>
        <w:tc>
          <w:tcPr>
            <w:tcW w:type="dxa" w:w="3458"/>
            <w:shd w:val="clear" w:color="auto" w:fill="EEF2F7"/>
          </w:tcPr>
          <w:p>
            <w:r/>
            <w:r>
              <w:rPr>
                <w:b w:val="0"/>
                <w:i w:val="0"/>
                <w:sz w:val="16"/>
              </w:rPr>
              <w:t>Más conciso que unittest</w:t>
            </w:r>
          </w:p>
        </w:tc>
      </w:tr>
      <w:tr>
        <w:tc>
          <w:tcPr>
            <w:tcW w:type="dxa" w:w="1587"/>
          </w:tcPr>
          <w:p>
            <w:r/>
            <w:r>
              <w:rPr>
                <w:b w:val="0"/>
                <w:i w:val="0"/>
                <w:sz w:val="16"/>
              </w:rPr>
              <w:t>Mermaid</w:t>
            </w:r>
          </w:p>
        </w:tc>
        <w:tc>
          <w:tcPr>
            <w:tcW w:type="dxa" w:w="1304"/>
          </w:tcPr>
          <w:p>
            <w:r/>
            <w:r>
              <w:rPr>
                <w:b w:val="0"/>
                <w:i w:val="0"/>
                <w:sz w:val="16"/>
              </w:rPr>
              <w:t>11.4.1</w:t>
            </w:r>
          </w:p>
        </w:tc>
        <w:tc>
          <w:tcPr>
            <w:tcW w:type="dxa" w:w="3288"/>
          </w:tcPr>
          <w:p>
            <w:r/>
            <w:r>
              <w:rPr>
                <w:b w:val="0"/>
                <w:i w:val="0"/>
                <w:sz w:val="16"/>
              </w:rPr>
              <w:t>Diagramas de arquitectura y de secuencia</w:t>
            </w:r>
          </w:p>
        </w:tc>
        <w:tc>
          <w:tcPr>
            <w:tcW w:type="dxa" w:w="3458"/>
          </w:tcPr>
          <w:p>
            <w:r/>
            <w:r>
              <w:rPr>
                <w:b w:val="0"/>
                <w:i w:val="0"/>
                <w:sz w:val="16"/>
              </w:rPr>
              <w:t>Diagrama como código, versionable (frente a draw.io)</w:t>
            </w:r>
          </w:p>
        </w:tc>
      </w:tr>
      <w:tr>
        <w:tc>
          <w:tcPr>
            <w:tcW w:type="dxa" w:w="1587"/>
            <w:shd w:val="clear" w:color="auto" w:fill="EEF2F7"/>
          </w:tcPr>
          <w:p>
            <w:r/>
            <w:r>
              <w:rPr>
                <w:b w:val="0"/>
                <w:i w:val="0"/>
                <w:sz w:val="16"/>
              </w:rPr>
              <w:t>Git / GitHub</w:t>
            </w:r>
          </w:p>
        </w:tc>
        <w:tc>
          <w:tcPr>
            <w:tcW w:type="dxa" w:w="1304"/>
            <w:shd w:val="clear" w:color="auto" w:fill="EEF2F7"/>
          </w:tcPr>
          <w:p>
            <w:r/>
            <w:r>
              <w:rPr>
                <w:b w:val="0"/>
                <w:i w:val="0"/>
                <w:sz w:val="16"/>
              </w:rPr>
              <w:t>—</w:t>
            </w:r>
          </w:p>
        </w:tc>
        <w:tc>
          <w:tcPr>
            <w:tcW w:type="dxa" w:w="3288"/>
            <w:shd w:val="clear" w:color="auto" w:fill="EEF2F7"/>
          </w:tcPr>
          <w:p>
            <w:r/>
            <w:r>
              <w:rPr>
                <w:b w:val="0"/>
                <w:i w:val="0"/>
                <w:sz w:val="16"/>
              </w:rPr>
              <w:t>Repositorio reproducible</w:t>
            </w:r>
          </w:p>
        </w:tc>
        <w:tc>
          <w:tcPr>
            <w:tcW w:type="dxa" w:w="3458"/>
            <w:shd w:val="clear" w:color="auto" w:fill="EEF2F7"/>
          </w:tcPr>
          <w:p>
            <w:r/>
            <w:r>
              <w:rPr>
                <w:b w:val="0"/>
                <w:i w:val="0"/>
                <w:sz w:val="16"/>
              </w:rPr>
              <w:t>Requisito de la guía; integración con Streamlit Cloud</w:t>
            </w:r>
          </w:p>
        </w:tc>
      </w:tr>
    </w:tbl>
    <w:p>
      <w:pPr>
        <w:spacing w:after="40"/>
      </w:pPr>
    </w:p>
    <w:p>
      <w:pPr>
        <w:jc w:val="both"/>
      </w:pPr>
      <w:r>
        <w:rPr>
          <w:b/>
          <w:i w:val="0"/>
        </w:rPr>
        <w:t>Qué razona el código propio y qué hacen las librerías.</w:t>
      </w:r>
      <w:r>
        <w:rPr>
          <w:b w:val="0"/>
          <w:i w:val="0"/>
        </w:rPr>
        <w:t xml:space="preserve"> El código propio implementa:</w:t>
      </w:r>
    </w:p>
    <w:p>
      <w:pPr>
        <w:pStyle w:val="ListBullet"/>
        <w:spacing w:after="40"/>
      </w:pPr>
      <w:r>
        <w:rPr>
          <w:b w:val="0"/>
          <w:i w:val="0"/>
        </w:rPr>
        <w:t>simulador y API simulada;</w:t>
      </w:r>
    </w:p>
    <w:p>
      <w:pPr>
        <w:pStyle w:val="ListBullet"/>
        <w:spacing w:after="40"/>
      </w:pPr>
      <w:r>
        <w:rPr>
          <w:b w:val="0"/>
          <w:i w:val="0"/>
        </w:rPr>
        <w:t>validación de percepciones;</w:t>
      </w:r>
    </w:p>
    <w:p>
      <w:pPr>
        <w:pStyle w:val="ListBullet"/>
        <w:spacing w:after="40"/>
      </w:pPr>
      <w:r>
        <w:rPr>
          <w:b w:val="0"/>
          <w:i w:val="0"/>
        </w:rPr>
        <w:t>memoria y variables de tendencia;</w:t>
      </w:r>
    </w:p>
    <w:p>
      <w:pPr>
        <w:pStyle w:val="ListBullet"/>
        <w:spacing w:after="40"/>
      </w:pPr>
      <w:r>
        <w:rPr>
          <w:b w:val="0"/>
          <w:i w:val="0"/>
        </w:rPr>
        <w:t>regla de decisión (τ, presupuesto, cola y enfriamiento de 4 semanas);</w:t>
      </w:r>
    </w:p>
    <w:p>
      <w:pPr>
        <w:pStyle w:val="ListBullet"/>
        <w:spacing w:after="40"/>
      </w:pPr>
      <w:r>
        <w:rPr>
          <w:b w:val="0"/>
          <w:i w:val="0"/>
        </w:rPr>
        <w:t>reintentos;</w:t>
      </w:r>
    </w:p>
    <w:p>
      <w:pPr>
        <w:pStyle w:val="ListBullet"/>
        <w:spacing w:after="40"/>
      </w:pPr>
      <w:r>
        <w:rPr>
          <w:b w:val="0"/>
          <w:i w:val="0"/>
        </w:rPr>
        <w:t>vínculo entre predicción y resultado;</w:t>
      </w:r>
    </w:p>
    <w:p>
      <w:pPr>
        <w:pStyle w:val="ListBullet"/>
        <w:spacing w:after="40"/>
      </w:pPr>
      <w:r>
        <w:rPr>
          <w:b w:val="0"/>
          <w:i w:val="0"/>
        </w:rPr>
        <w:t>compuerta de reentrenamiento;</w:t>
      </w:r>
    </w:p>
    <w:p>
      <w:pPr>
        <w:pStyle w:val="ListBullet"/>
        <w:spacing w:after="40"/>
      </w:pPr>
      <w:r>
        <w:rPr>
          <w:b w:val="0"/>
          <w:i w:val="0"/>
        </w:rPr>
        <w:t>explicación por oclusión;</w:t>
      </w:r>
    </w:p>
    <w:p>
      <w:pPr>
        <w:pStyle w:val="ListBullet"/>
        <w:spacing w:after="40"/>
      </w:pPr>
      <w:r>
        <w:rPr>
          <w:b w:val="0"/>
          <w:i w:val="0"/>
        </w:rPr>
        <w:t>evaluación de M1–M6.</w:t>
      </w:r>
    </w:p>
    <w:p>
      <w:pPr>
        <w:jc w:val="both"/>
      </w:pPr>
      <w:r>
        <w:rPr>
          <w:b w:val="0"/>
          <w:i w:val="0"/>
        </w:rPr>
        <w:t xml:space="preserve">scikit-learn solo ajusta los clasificadores y calcula el AUC. </w:t>
      </w:r>
      <w:r>
        <w:rPr>
          <w:b/>
          <w:i w:val="0"/>
        </w:rPr>
        <w:t>No se usa ningún modelo de lenguaje (LLM).</w:t>
      </w:r>
    </w:p>
    <w:p>
      <w:pPr>
        <w:pStyle w:val="Heading2"/>
      </w:pPr>
      <w:r>
        <w:t>9.3 Entradas (inputs)</w:t>
      </w:r>
    </w:p>
    <w:p>
      <w:pPr>
        <w:keepNext/>
        <w:spacing w:after="40"/>
      </w:pPr>
      <w:r>
        <w:rPr>
          <w:b/>
          <w:sz w:val="19"/>
        </w:rPr>
        <w:t xml:space="preserve">Tabla 8. </w:t>
      </w:r>
      <w:r>
        <w:rPr>
          <w:b w:val="0"/>
          <w:i w:val="0"/>
          <w:sz w:val="19"/>
        </w:rPr>
        <w:t xml:space="preserve">Percepciones del agente. Los ejemplos son reales del log </w:t>
      </w:r>
      <w:r>
        <w:rPr>
          <w:rFonts w:ascii="Consolas" w:hAnsi="Consolas" w:eastAsia="Consolas"/>
          <w:b w:val="0"/>
          <w:i w:val="0"/>
          <w:sz w:val="17"/>
        </w:rPr>
        <w:t>detalle_N2_s1001.jsonl.gz</w:t>
      </w:r>
      <w:r>
        <w:rPr>
          <w:b w:val="0"/>
          <w:i w:val="0"/>
          <w:sz w:val="19"/>
        </w:rPr>
        <w:t xml:space="preserve"> (N2, semilla 1001, semana 4, 2026-10-18T18:54:25).</w:t>
      </w:r>
    </w:p>
    <w:tbl>
      <w:tblPr>
        <w:tblStyle w:val="TableGrid"/>
        <w:tblW w:type="auto" w:w="0"/>
        <w:jc w:val="center"/>
        <w:tblLook w:firstColumn="1" w:firstRow="1" w:lastColumn="0" w:lastRow="0" w:noHBand="0" w:noVBand="1" w:val="04A0"/>
      </w:tblPr>
      <w:tblGrid>
        <w:gridCol w:w="1926"/>
        <w:gridCol w:w="1926"/>
        <w:gridCol w:w="1926"/>
        <w:gridCol w:w="1926"/>
        <w:gridCol w:w="1926"/>
      </w:tblGrid>
      <w:tr>
        <w:trPr>
          <w:tblHeader w:val="true"/>
        </w:trPr>
        <w:tc>
          <w:tcPr>
            <w:tcW w:type="dxa" w:w="1928"/>
            <w:shd w:val="clear" w:color="auto" w:fill="1F3A5F"/>
          </w:tcPr>
          <w:p>
            <w:r/>
            <w:r>
              <w:rPr>
                <w:b/>
                <w:i w:val="0"/>
                <w:color w:val="FFFFFF"/>
                <w:sz w:val="16"/>
              </w:rPr>
              <w:t>Nombre</w:t>
            </w:r>
          </w:p>
        </w:tc>
        <w:tc>
          <w:tcPr>
            <w:tcW w:type="dxa" w:w="1077"/>
            <w:shd w:val="clear" w:color="auto" w:fill="1F3A5F"/>
          </w:tcPr>
          <w:p>
            <w:r/>
            <w:r>
              <w:rPr>
                <w:b/>
                <w:i w:val="0"/>
                <w:color w:val="FFFFFF"/>
                <w:sz w:val="16"/>
              </w:rPr>
              <w:t>Tipo</w:t>
            </w:r>
          </w:p>
        </w:tc>
        <w:tc>
          <w:tcPr>
            <w:tcW w:type="dxa" w:w="2154"/>
            <w:shd w:val="clear" w:color="auto" w:fill="1F3A5F"/>
          </w:tcPr>
          <w:p>
            <w:r/>
            <w:r>
              <w:rPr>
                <w:b/>
                <w:i w:val="0"/>
                <w:color w:val="FFFFFF"/>
                <w:sz w:val="16"/>
              </w:rPr>
              <w:t>Rango o formato</w:t>
            </w:r>
          </w:p>
        </w:tc>
        <w:tc>
          <w:tcPr>
            <w:tcW w:type="dxa" w:w="2494"/>
            <w:shd w:val="clear" w:color="auto" w:fill="1F3A5F"/>
          </w:tcPr>
          <w:p>
            <w:r/>
            <w:r>
              <w:rPr>
                <w:b/>
                <w:i w:val="0"/>
                <w:color w:val="FFFFFF"/>
                <w:sz w:val="16"/>
              </w:rPr>
              <w:t>Origen</w:t>
            </w:r>
          </w:p>
        </w:tc>
        <w:tc>
          <w:tcPr>
            <w:tcW w:type="dxa" w:w="1984"/>
            <w:shd w:val="clear" w:color="auto" w:fill="1F3A5F"/>
          </w:tcPr>
          <w:p>
            <w:r/>
            <w:r>
              <w:rPr>
                <w:b/>
                <w:i w:val="0"/>
                <w:color w:val="FFFFFF"/>
                <w:sz w:val="16"/>
              </w:rPr>
              <w:t>Ejemplo del log</w:t>
            </w:r>
          </w:p>
        </w:tc>
      </w:tr>
      <w:tr>
        <w:tc>
          <w:tcPr>
            <w:tcW w:type="dxa" w:w="1928"/>
          </w:tcPr>
          <w:p>
            <w:r/>
            <w:r>
              <w:rPr>
                <w:b w:val="0"/>
                <w:i w:val="0"/>
                <w:sz w:val="16"/>
              </w:rPr>
              <w:t>user_id</w:t>
            </w:r>
          </w:p>
        </w:tc>
        <w:tc>
          <w:tcPr>
            <w:tcW w:type="dxa" w:w="1077"/>
          </w:tcPr>
          <w:p>
            <w:r/>
            <w:r>
              <w:rPr>
                <w:b w:val="0"/>
                <w:i w:val="0"/>
                <w:sz w:val="16"/>
              </w:rPr>
              <w:t>texto</w:t>
            </w:r>
          </w:p>
        </w:tc>
        <w:tc>
          <w:tcPr>
            <w:tcW w:type="dxa" w:w="2154"/>
          </w:tcPr>
          <w:p>
            <w:r/>
            <w:r>
              <w:rPr>
                <w:b w:val="0"/>
                <w:i w:val="0"/>
                <w:sz w:val="16"/>
              </w:rPr>
              <w:t>«U» + 5 dígitos</w:t>
            </w:r>
          </w:p>
        </w:tc>
        <w:tc>
          <w:tcPr>
            <w:tcW w:type="dxa" w:w="2494"/>
          </w:tcPr>
          <w:p>
            <w:r/>
            <w:r>
              <w:rPr>
                <w:b w:val="0"/>
                <w:i w:val="0"/>
                <w:sz w:val="16"/>
              </w:rPr>
              <w:t>Base de suscripciones (simulador)</w:t>
            </w:r>
          </w:p>
        </w:tc>
        <w:tc>
          <w:tcPr>
            <w:tcW w:type="dxa" w:w="1984"/>
          </w:tcPr>
          <w:p>
            <w:r/>
            <w:r>
              <w:rPr>
                <w:b w:val="0"/>
                <w:i w:val="0"/>
                <w:sz w:val="16"/>
              </w:rPr>
              <w:t>U00000</w:t>
            </w:r>
          </w:p>
        </w:tc>
      </w:tr>
      <w:tr>
        <w:tc>
          <w:tcPr>
            <w:tcW w:type="dxa" w:w="1928"/>
            <w:shd w:val="clear" w:color="auto" w:fill="EEF2F7"/>
          </w:tcPr>
          <w:p>
            <w:r/>
            <w:r>
              <w:rPr>
                <w:b w:val="0"/>
                <w:i w:val="0"/>
                <w:sz w:val="16"/>
              </w:rPr>
              <w:t>semana</w:t>
            </w:r>
          </w:p>
        </w:tc>
        <w:tc>
          <w:tcPr>
            <w:tcW w:type="dxa" w:w="1077"/>
            <w:shd w:val="clear" w:color="auto" w:fill="EEF2F7"/>
          </w:tcPr>
          <w:p>
            <w:r/>
            <w:r>
              <w:rPr>
                <w:b w:val="0"/>
                <w:i w:val="0"/>
                <w:sz w:val="16"/>
              </w:rPr>
              <w:t>entero</w:t>
            </w:r>
          </w:p>
        </w:tc>
        <w:tc>
          <w:tcPr>
            <w:tcW w:type="dxa" w:w="2154"/>
            <w:shd w:val="clear" w:color="auto" w:fill="EEF2F7"/>
          </w:tcPr>
          <w:p>
            <w:r/>
            <w:r>
              <w:rPr>
                <w:b w:val="0"/>
                <w:i w:val="0"/>
                <w:sz w:val="16"/>
              </w:rPr>
              <w:t>0 – 15</w:t>
            </w:r>
          </w:p>
        </w:tc>
        <w:tc>
          <w:tcPr>
            <w:tcW w:type="dxa" w:w="2494"/>
            <w:shd w:val="clear" w:color="auto" w:fill="EEF2F7"/>
          </w:tcPr>
          <w:p>
            <w:r/>
            <w:r>
              <w:rPr>
                <w:b w:val="0"/>
                <w:i w:val="0"/>
                <w:sz w:val="16"/>
              </w:rPr>
              <w:t>Reloj del ciclo</w:t>
            </w:r>
          </w:p>
        </w:tc>
        <w:tc>
          <w:tcPr>
            <w:tcW w:type="dxa" w:w="1984"/>
            <w:shd w:val="clear" w:color="auto" w:fill="EEF2F7"/>
          </w:tcPr>
          <w:p>
            <w:r/>
            <w:r>
              <w:rPr>
                <w:b w:val="0"/>
                <w:i w:val="0"/>
                <w:sz w:val="16"/>
              </w:rPr>
              <w:t>4</w:t>
            </w:r>
          </w:p>
        </w:tc>
      </w:tr>
      <w:tr>
        <w:tc>
          <w:tcPr>
            <w:tcW w:type="dxa" w:w="1928"/>
          </w:tcPr>
          <w:p>
            <w:r/>
            <w:r>
              <w:rPr>
                <w:b w:val="0"/>
                <w:i w:val="0"/>
                <w:sz w:val="16"/>
              </w:rPr>
              <w:t>horas_vistas</w:t>
            </w:r>
          </w:p>
        </w:tc>
        <w:tc>
          <w:tcPr>
            <w:tcW w:type="dxa" w:w="1077"/>
          </w:tcPr>
          <w:p>
            <w:r/>
            <w:r>
              <w:rPr>
                <w:b w:val="0"/>
                <w:i w:val="0"/>
                <w:sz w:val="16"/>
              </w:rPr>
              <w:t>real</w:t>
            </w:r>
          </w:p>
        </w:tc>
        <w:tc>
          <w:tcPr>
            <w:tcW w:type="dxa" w:w="2154"/>
          </w:tcPr>
          <w:p>
            <w:r/>
            <w:r>
              <w:rPr>
                <w:b w:val="0"/>
                <w:i w:val="0"/>
                <w:sz w:val="16"/>
              </w:rPr>
              <w:t>0 – 168 h por semana</w:t>
            </w:r>
          </w:p>
        </w:tc>
        <w:tc>
          <w:tcPr>
            <w:tcW w:type="dxa" w:w="2494"/>
          </w:tcPr>
          <w:p>
            <w:r/>
            <w:r>
              <w:rPr>
                <w:b w:val="0"/>
                <w:i w:val="0"/>
                <w:sz w:val="16"/>
              </w:rPr>
              <w:t>Registros de reproducción (sensor)</w:t>
            </w:r>
          </w:p>
        </w:tc>
        <w:tc>
          <w:tcPr>
            <w:tcW w:type="dxa" w:w="1984"/>
          </w:tcPr>
          <w:p>
            <w:r/>
            <w:r>
              <w:rPr>
                <w:b w:val="0"/>
                <w:i w:val="0"/>
                <w:sz w:val="16"/>
              </w:rPr>
              <w:t>5,33</w:t>
            </w:r>
          </w:p>
        </w:tc>
      </w:tr>
      <w:tr>
        <w:tc>
          <w:tcPr>
            <w:tcW w:type="dxa" w:w="1928"/>
            <w:shd w:val="clear" w:color="auto" w:fill="EEF2F7"/>
          </w:tcPr>
          <w:p>
            <w:r/>
            <w:r>
              <w:rPr>
                <w:b w:val="0"/>
                <w:i w:val="0"/>
                <w:sz w:val="16"/>
              </w:rPr>
              <w:t>dias_desde_ultimo_login</w:t>
            </w:r>
          </w:p>
        </w:tc>
        <w:tc>
          <w:tcPr>
            <w:tcW w:type="dxa" w:w="1077"/>
            <w:shd w:val="clear" w:color="auto" w:fill="EEF2F7"/>
          </w:tcPr>
          <w:p>
            <w:r/>
            <w:r>
              <w:rPr>
                <w:b w:val="0"/>
                <w:i w:val="0"/>
                <w:sz w:val="16"/>
              </w:rPr>
              <w:t>real</w:t>
            </w:r>
          </w:p>
        </w:tc>
        <w:tc>
          <w:tcPr>
            <w:tcW w:type="dxa" w:w="2154"/>
            <w:shd w:val="clear" w:color="auto" w:fill="EEF2F7"/>
          </w:tcPr>
          <w:p>
            <w:r/>
            <w:r>
              <w:rPr>
                <w:b w:val="0"/>
                <w:i w:val="0"/>
                <w:sz w:val="16"/>
              </w:rPr>
              <w:t>0 – 365</w:t>
            </w:r>
          </w:p>
        </w:tc>
        <w:tc>
          <w:tcPr>
            <w:tcW w:type="dxa" w:w="2494"/>
            <w:shd w:val="clear" w:color="auto" w:fill="EEF2F7"/>
          </w:tcPr>
          <w:p>
            <w:r/>
            <w:r>
              <w:rPr>
                <w:b w:val="0"/>
                <w:i w:val="0"/>
                <w:sz w:val="16"/>
              </w:rPr>
              <w:t>Registros de autenticación (sensor)</w:t>
            </w:r>
          </w:p>
        </w:tc>
        <w:tc>
          <w:tcPr>
            <w:tcW w:type="dxa" w:w="1984"/>
            <w:shd w:val="clear" w:color="auto" w:fill="EEF2F7"/>
          </w:tcPr>
          <w:p>
            <w:r/>
            <w:r>
              <w:rPr>
                <w:b w:val="0"/>
                <w:i w:val="0"/>
                <w:sz w:val="16"/>
              </w:rPr>
              <w:t>4</w:t>
            </w:r>
          </w:p>
        </w:tc>
      </w:tr>
      <w:tr>
        <w:tc>
          <w:tcPr>
            <w:tcW w:type="dxa" w:w="1928"/>
          </w:tcPr>
          <w:p>
            <w:r/>
            <w:r>
              <w:rPr>
                <w:b w:val="0"/>
                <w:i w:val="0"/>
                <w:sz w:val="16"/>
              </w:rPr>
              <w:t>tipo_plan</w:t>
            </w:r>
          </w:p>
        </w:tc>
        <w:tc>
          <w:tcPr>
            <w:tcW w:type="dxa" w:w="1077"/>
          </w:tcPr>
          <w:p>
            <w:r/>
            <w:r>
              <w:rPr>
                <w:b w:val="0"/>
                <w:i w:val="0"/>
                <w:sz w:val="16"/>
              </w:rPr>
              <w:t>categórico</w:t>
            </w:r>
          </w:p>
        </w:tc>
        <w:tc>
          <w:tcPr>
            <w:tcW w:type="dxa" w:w="2154"/>
          </w:tcPr>
          <w:p>
            <w:r/>
            <w:r>
              <w:rPr>
                <w:b w:val="0"/>
                <w:i w:val="0"/>
                <w:sz w:val="16"/>
              </w:rPr>
              <w:t>básico, estándar, premium</w:t>
            </w:r>
          </w:p>
        </w:tc>
        <w:tc>
          <w:tcPr>
            <w:tcW w:type="dxa" w:w="2494"/>
          </w:tcPr>
          <w:p>
            <w:r/>
            <w:r>
              <w:rPr>
                <w:b w:val="0"/>
                <w:i w:val="0"/>
                <w:sz w:val="16"/>
              </w:rPr>
              <w:t>Base de suscripciones</w:t>
            </w:r>
          </w:p>
        </w:tc>
        <w:tc>
          <w:tcPr>
            <w:tcW w:type="dxa" w:w="1984"/>
          </w:tcPr>
          <w:p>
            <w:r/>
            <w:r>
              <w:rPr>
                <w:b w:val="0"/>
                <w:i w:val="0"/>
                <w:sz w:val="16"/>
              </w:rPr>
              <w:t>basico</w:t>
            </w:r>
          </w:p>
        </w:tc>
      </w:tr>
      <w:tr>
        <w:tc>
          <w:tcPr>
            <w:tcW w:type="dxa" w:w="1928"/>
            <w:shd w:val="clear" w:color="auto" w:fill="EEF2F7"/>
          </w:tcPr>
          <w:p>
            <w:r/>
            <w:r>
              <w:rPr>
                <w:b w:val="0"/>
                <w:i w:val="0"/>
                <w:sz w:val="16"/>
              </w:rPr>
              <w:t>cambio_metodo_pago</w:t>
            </w:r>
          </w:p>
        </w:tc>
        <w:tc>
          <w:tcPr>
            <w:tcW w:type="dxa" w:w="1077"/>
            <w:shd w:val="clear" w:color="auto" w:fill="EEF2F7"/>
          </w:tcPr>
          <w:p>
            <w:r/>
            <w:r>
              <w:rPr>
                <w:b w:val="0"/>
                <w:i w:val="0"/>
                <w:sz w:val="16"/>
              </w:rPr>
              <w:t>binario</w:t>
            </w:r>
          </w:p>
        </w:tc>
        <w:tc>
          <w:tcPr>
            <w:tcW w:type="dxa" w:w="2154"/>
            <w:shd w:val="clear" w:color="auto" w:fill="EEF2F7"/>
          </w:tcPr>
          <w:p>
            <w:r/>
            <w:r>
              <w:rPr>
                <w:b w:val="0"/>
                <w:i w:val="0"/>
                <w:sz w:val="16"/>
              </w:rPr>
              <w:t>0 o 1 (cambio en las últimas 4 semanas)</w:t>
            </w:r>
          </w:p>
        </w:tc>
        <w:tc>
          <w:tcPr>
            <w:tcW w:type="dxa" w:w="2494"/>
            <w:shd w:val="clear" w:color="auto" w:fill="EEF2F7"/>
          </w:tcPr>
          <w:p>
            <w:r/>
            <w:r>
              <w:rPr>
                <w:b w:val="0"/>
                <w:i w:val="0"/>
                <w:sz w:val="16"/>
              </w:rPr>
              <w:t>Sistema de facturación</w:t>
            </w:r>
          </w:p>
        </w:tc>
        <w:tc>
          <w:tcPr>
            <w:tcW w:type="dxa" w:w="1984"/>
            <w:shd w:val="clear" w:color="auto" w:fill="EEF2F7"/>
          </w:tcPr>
          <w:p>
            <w:r/>
            <w:r>
              <w:rPr>
                <w:b w:val="0"/>
                <w:i w:val="0"/>
                <w:sz w:val="16"/>
              </w:rPr>
              <w:t>0</w:t>
            </w:r>
          </w:p>
        </w:tc>
      </w:tr>
      <w:tr>
        <w:tc>
          <w:tcPr>
            <w:tcW w:type="dxa" w:w="1928"/>
          </w:tcPr>
          <w:p>
            <w:r/>
            <w:r>
              <w:rPr>
                <w:b w:val="0"/>
                <w:i w:val="0"/>
                <w:sz w:val="16"/>
              </w:rPr>
              <w:t>Historial semanal</w:t>
            </w:r>
          </w:p>
        </w:tc>
        <w:tc>
          <w:tcPr>
            <w:tcW w:type="dxa" w:w="1077"/>
          </w:tcPr>
          <w:p>
            <w:r/>
            <w:r>
              <w:rPr>
                <w:b w:val="0"/>
                <w:i w:val="0"/>
                <w:sz w:val="16"/>
              </w:rPr>
              <w:t>serie temporal</w:t>
            </w:r>
          </w:p>
        </w:tc>
        <w:tc>
          <w:tcPr>
            <w:tcW w:type="dxa" w:w="2154"/>
          </w:tcPr>
          <w:p>
            <w:r/>
            <w:r>
              <w:rPr>
                <w:b w:val="0"/>
                <w:i w:val="0"/>
                <w:sz w:val="16"/>
              </w:rPr>
              <w:t>Ventana de 4 semanas en memoria</w:t>
            </w:r>
          </w:p>
        </w:tc>
        <w:tc>
          <w:tcPr>
            <w:tcW w:type="dxa" w:w="2494"/>
          </w:tcPr>
          <w:p>
            <w:r/>
            <w:r>
              <w:rPr>
                <w:b w:val="0"/>
                <w:i w:val="0"/>
                <w:sz w:val="16"/>
              </w:rPr>
              <w:t>Memoria SQLite (propia)</w:t>
            </w:r>
          </w:p>
        </w:tc>
        <w:tc>
          <w:tcPr>
            <w:tcW w:type="dxa" w:w="1984"/>
          </w:tcPr>
          <w:p>
            <w:r/>
            <w:r>
              <w:rPr>
                <w:b w:val="0"/>
                <w:i w:val="0"/>
                <w:sz w:val="16"/>
              </w:rPr>
              <w:t>5 semanas con datos válidos (U00006)</w:t>
            </w:r>
          </w:p>
        </w:tc>
      </w:tr>
      <w:tr>
        <w:tc>
          <w:tcPr>
            <w:tcW w:type="dxa" w:w="1928"/>
            <w:shd w:val="clear" w:color="auto" w:fill="EEF2F7"/>
          </w:tcPr>
          <w:p>
            <w:r/>
            <w:r>
              <w:rPr>
                <w:b w:val="0"/>
                <w:i w:val="0"/>
                <w:sz w:val="16"/>
              </w:rPr>
              <w:t>Resultado a 4 semanas</w:t>
            </w:r>
          </w:p>
        </w:tc>
        <w:tc>
          <w:tcPr>
            <w:tcW w:type="dxa" w:w="1077"/>
            <w:shd w:val="clear" w:color="auto" w:fill="EEF2F7"/>
          </w:tcPr>
          <w:p>
            <w:r/>
            <w:r>
              <w:rPr>
                <w:b w:val="0"/>
                <w:i w:val="0"/>
                <w:sz w:val="16"/>
              </w:rPr>
              <w:t>binario</w:t>
            </w:r>
          </w:p>
        </w:tc>
        <w:tc>
          <w:tcPr>
            <w:tcW w:type="dxa" w:w="2154"/>
            <w:shd w:val="clear" w:color="auto" w:fill="EEF2F7"/>
          </w:tcPr>
          <w:p>
            <w:r/>
            <w:r>
              <w:rPr>
                <w:b w:val="0"/>
                <w:i w:val="0"/>
                <w:sz w:val="16"/>
              </w:rPr>
              <w:t>0 = permaneció, 1 = canceló</w:t>
            </w:r>
          </w:p>
        </w:tc>
        <w:tc>
          <w:tcPr>
            <w:tcW w:type="dxa" w:w="2494"/>
            <w:shd w:val="clear" w:color="auto" w:fill="EEF2F7"/>
          </w:tcPr>
          <w:p>
            <w:r/>
            <w:r>
              <w:rPr>
                <w:b w:val="0"/>
                <w:i w:val="0"/>
                <w:sz w:val="16"/>
              </w:rPr>
              <w:t>Entorno (estado de la suscripción), 4 semanas después</w:t>
            </w:r>
          </w:p>
        </w:tc>
        <w:tc>
          <w:tcPr>
            <w:tcW w:type="dxa" w:w="1984"/>
            <w:shd w:val="clear" w:color="auto" w:fill="EEF2F7"/>
          </w:tcPr>
          <w:p>
            <w:r/>
            <w:r>
              <w:rPr>
                <w:b w:val="0"/>
                <w:i w:val="0"/>
                <w:sz w:val="16"/>
              </w:rPr>
              <w:t>197 cancelaciones de 1.888 predicciones (semana 7)</w:t>
            </w:r>
          </w:p>
        </w:tc>
      </w:tr>
    </w:tbl>
    <w:p>
      <w:pPr>
        <w:spacing w:after="40"/>
      </w:pPr>
    </w:p>
    <w:p>
      <w:pPr>
        <w:jc w:val="both"/>
      </w:pPr>
      <w:r>
        <w:rPr>
          <w:b w:val="0"/>
          <w:i w:val="0"/>
        </w:rPr>
        <w:t xml:space="preserve">Ejemplo real de un registro rechazado en la misma ejecución: </w:t>
      </w:r>
      <w:r>
        <w:rPr>
          <w:rFonts w:ascii="Consolas" w:hAnsi="Consolas" w:eastAsia="Consolas"/>
          <w:b w:val="0"/>
          <w:i w:val="0"/>
        </w:rPr>
        <w:t>U00048</w:t>
      </w:r>
      <w:r>
        <w:rPr>
          <w:b w:val="0"/>
          <w:i w:val="0"/>
        </w:rPr>
        <w:t xml:space="preserve">, con el motivo «dias_desde_ultimo_login faltante o no numérico». No se descarta en silencio: queda en la tabla </w:t>
      </w:r>
      <w:r>
        <w:rPr>
          <w:rFonts w:ascii="Consolas" w:hAnsi="Consolas" w:eastAsia="Consolas"/>
          <w:b w:val="0"/>
          <w:i w:val="0"/>
        </w:rPr>
        <w:t>rechazos</w:t>
      </w:r>
      <w:r>
        <w:rPr>
          <w:b w:val="0"/>
          <w:i w:val="0"/>
        </w:rPr>
        <w:t xml:space="preserve"> de la memoria y en el log.</w:t>
      </w:r>
    </w:p>
    <w:p>
      <w:pPr>
        <w:pStyle w:val="Heading2"/>
      </w:pPr>
      <w:r>
        <w:t>9.4 Salidas y acciones</w:t>
      </w:r>
    </w:p>
    <w:p>
      <w:pPr>
        <w:keepNext/>
        <w:spacing w:after="40"/>
      </w:pPr>
      <w:r>
        <w:rPr>
          <w:b/>
          <w:sz w:val="19"/>
        </w:rPr>
        <w:t xml:space="preserve">Tabla 9. </w:t>
      </w:r>
      <w:r>
        <w:rPr>
          <w:b w:val="0"/>
          <w:i w:val="0"/>
          <w:sz w:val="19"/>
        </w:rPr>
        <w:t>Acciones del agente y su efecto.</w:t>
      </w:r>
    </w:p>
    <w:tbl>
      <w:tblPr>
        <w:tblStyle w:val="TableGrid"/>
        <w:tblW w:type="auto" w:w="0"/>
        <w:jc w:val="center"/>
        <w:tblLook w:firstColumn="1" w:firstRow="1" w:lastColumn="0" w:lastRow="0" w:noHBand="0" w:noVBand="1" w:val="04A0"/>
      </w:tblPr>
      <w:tblGrid>
        <w:gridCol w:w="4816"/>
        <w:gridCol w:w="4816"/>
      </w:tblGrid>
      <w:tr>
        <w:trPr>
          <w:tblHeader w:val="true"/>
        </w:trPr>
        <w:tc>
          <w:tcPr>
            <w:tcW w:type="dxa" w:w="3685"/>
            <w:shd w:val="clear" w:color="auto" w:fill="1F3A5F"/>
          </w:tcPr>
          <w:p>
            <w:r/>
            <w:r>
              <w:rPr>
                <w:b/>
                <w:i w:val="0"/>
                <w:color w:val="FFFFFF"/>
                <w:sz w:val="17"/>
              </w:rPr>
              <w:t>Acción</w:t>
            </w:r>
          </w:p>
        </w:tc>
        <w:tc>
          <w:tcPr>
            <w:tcW w:type="dxa" w:w="5953"/>
            <w:shd w:val="clear" w:color="auto" w:fill="1F3A5F"/>
          </w:tcPr>
          <w:p>
            <w:r/>
            <w:r>
              <w:rPr>
                <w:b/>
                <w:i w:val="0"/>
                <w:color w:val="FFFFFF"/>
                <w:sz w:val="17"/>
              </w:rPr>
              <w:t>Efecto en el entorno o en el agente</w:t>
            </w:r>
          </w:p>
        </w:tc>
      </w:tr>
      <w:tr>
        <w:tc>
          <w:tcPr>
            <w:tcW w:type="dxa" w:w="3685"/>
          </w:tcPr>
          <w:p>
            <w:r/>
            <w:r>
              <w:rPr>
                <w:b w:val="0"/>
                <w:i w:val="0"/>
                <w:sz w:val="17"/>
              </w:rPr>
              <w:t>Probabilidad de cancelación (</w:t>
            </w:r>
            <w:r>
              <w:rPr>
                <w:rFonts w:ascii="Consolas" w:hAnsi="Consolas" w:eastAsia="Consolas"/>
                <w:b w:val="0"/>
                <w:i w:val="0"/>
                <w:sz w:val="15"/>
              </w:rPr>
              <w:t>predecir</w:t>
            </w:r>
            <w:r>
              <w:rPr>
                <w:b w:val="0"/>
                <w:i w:val="0"/>
                <w:sz w:val="17"/>
              </w:rPr>
              <w:t>)</w:t>
            </w:r>
          </w:p>
        </w:tc>
        <w:tc>
          <w:tcPr>
            <w:tcW w:type="dxa" w:w="5953"/>
          </w:tcPr>
          <w:p>
            <w:r/>
            <w:r>
              <w:rPr>
                <w:b w:val="0"/>
                <w:i w:val="0"/>
                <w:sz w:val="17"/>
              </w:rPr>
              <w:t>Estado interno: ordena el riesgo. No modifica el entorno.</w:t>
            </w:r>
          </w:p>
        </w:tc>
      </w:tr>
      <w:tr>
        <w:tc>
          <w:tcPr>
            <w:tcW w:type="dxa" w:w="3685"/>
            <w:shd w:val="clear" w:color="auto" w:fill="EEF2F7"/>
          </w:tcPr>
          <w:p>
            <w:r/>
            <w:r>
              <w:rPr>
                <w:b w:val="0"/>
                <w:i w:val="0"/>
                <w:sz w:val="17"/>
              </w:rPr>
              <w:t>Predicción p ≥ τ, prioridad (alta, media, baja) y confianza (normal, baja)</w:t>
            </w:r>
          </w:p>
        </w:tc>
        <w:tc>
          <w:tcPr>
            <w:tcW w:type="dxa" w:w="5953"/>
            <w:shd w:val="clear" w:color="auto" w:fill="EEF2F7"/>
          </w:tcPr>
          <w:p>
            <w:r/>
            <w:r>
              <w:rPr>
                <w:b w:val="0"/>
                <w:i w:val="0"/>
                <w:sz w:val="17"/>
              </w:rPr>
              <w:t>Tabla de riesgo para el analista, con 3 factores principales para cada ofertado.</w:t>
            </w:r>
          </w:p>
        </w:tc>
      </w:tr>
      <w:tr>
        <w:tc>
          <w:tcPr>
            <w:tcW w:type="dxa" w:w="3685"/>
          </w:tcPr>
          <w:p>
            <w:r/>
            <w:r>
              <w:rPr>
                <w:b w:val="0"/>
                <w:i w:val="0"/>
                <w:sz w:val="17"/>
              </w:rPr>
              <w:t>Activar oferta (</w:t>
            </w:r>
            <w:r>
              <w:rPr>
                <w:rFonts w:ascii="Consolas" w:hAnsi="Consolas" w:eastAsia="Consolas"/>
                <w:b w:val="0"/>
                <w:i w:val="0"/>
                <w:sz w:val="15"/>
              </w:rPr>
              <w:t>MarketingAPI.activate_offer</w:t>
            </w:r>
            <w:r>
              <w:rPr>
                <w:b w:val="0"/>
                <w:i w:val="0"/>
                <w:sz w:val="17"/>
              </w:rPr>
              <w:t>)</w:t>
            </w:r>
          </w:p>
        </w:tc>
        <w:tc>
          <w:tcPr>
            <w:tcW w:type="dxa" w:w="5953"/>
          </w:tcPr>
          <w:p>
            <w:r/>
            <w:r>
              <w:rPr>
                <w:b w:val="0"/>
                <w:i w:val="0"/>
                <w:sz w:val="17"/>
              </w:rPr>
              <w:t>Modifica el entorno: si llega dentro de las 4 semanas previas a una cancelación programada, la evita con probabilidad 30 % (efecto probabilístico).</w:t>
            </w:r>
          </w:p>
        </w:tc>
      </w:tr>
      <w:tr>
        <w:tc>
          <w:tcPr>
            <w:tcW w:type="dxa" w:w="3685"/>
            <w:shd w:val="clear" w:color="auto" w:fill="EEF2F7"/>
          </w:tcPr>
          <w:p>
            <w:r/>
            <w:r>
              <w:rPr>
                <w:b w:val="0"/>
                <w:i w:val="0"/>
                <w:sz w:val="17"/>
              </w:rPr>
              <w:t>Reintentar o encolar ante un fallo de la API</w:t>
            </w:r>
          </w:p>
        </w:tc>
        <w:tc>
          <w:tcPr>
            <w:tcW w:type="dxa" w:w="5953"/>
            <w:shd w:val="clear" w:color="auto" w:fill="EEF2F7"/>
          </w:tcPr>
          <w:p>
            <w:r/>
            <w:r>
              <w:rPr>
                <w:b w:val="0"/>
                <w:i w:val="0"/>
                <w:sz w:val="17"/>
              </w:rPr>
              <w:t>Hasta 3 reintentos. Si la falla persiste, el usuario pasa a la cola del ciclo siguiente (la entrada vence a las 4 semanas).</w:t>
            </w:r>
          </w:p>
        </w:tc>
      </w:tr>
      <w:tr>
        <w:tc>
          <w:tcPr>
            <w:tcW w:type="dxa" w:w="3685"/>
          </w:tcPr>
          <w:p>
            <w:r/>
            <w:r>
              <w:rPr>
                <w:b w:val="0"/>
                <w:i w:val="0"/>
                <w:sz w:val="17"/>
              </w:rPr>
              <w:t>Registrar intervención y resultado</w:t>
            </w:r>
          </w:p>
        </w:tc>
        <w:tc>
          <w:tcPr>
            <w:tcW w:type="dxa" w:w="5953"/>
          </w:tcPr>
          <w:p>
            <w:r/>
            <w:r>
              <w:rPr>
                <w:b w:val="0"/>
                <w:i w:val="0"/>
                <w:sz w:val="17"/>
              </w:rPr>
              <w:t>Actualiza la memoria (</w:t>
            </w:r>
            <w:r>
              <w:rPr>
                <w:rFonts w:ascii="Consolas" w:hAnsi="Consolas" w:eastAsia="Consolas"/>
                <w:b w:val="0"/>
                <w:i w:val="0"/>
                <w:sz w:val="15"/>
              </w:rPr>
              <w:t>intervenciones</w:t>
            </w:r>
            <w:r>
              <w:rPr>
                <w:b w:val="0"/>
                <w:i w:val="0"/>
                <w:sz w:val="17"/>
              </w:rPr>
              <w:t xml:space="preserve">, </w:t>
            </w:r>
            <w:r>
              <w:rPr>
                <w:rFonts w:ascii="Consolas" w:hAnsi="Consolas" w:eastAsia="Consolas"/>
                <w:b w:val="0"/>
                <w:i w:val="0"/>
                <w:sz w:val="15"/>
              </w:rPr>
              <w:t>resultados</w:t>
            </w:r>
            <w:r>
              <w:rPr>
                <w:b w:val="0"/>
                <w:i w:val="0"/>
                <w:sz w:val="17"/>
              </w:rPr>
              <w:t>), que alimenta el aprendizaje.</w:t>
            </w:r>
          </w:p>
        </w:tc>
      </w:tr>
      <w:tr>
        <w:tc>
          <w:tcPr>
            <w:tcW w:type="dxa" w:w="3685"/>
            <w:shd w:val="clear" w:color="auto" w:fill="EEF2F7"/>
          </w:tcPr>
          <w:p>
            <w:r/>
            <w:r>
              <w:rPr>
                <w:b w:val="0"/>
                <w:i w:val="0"/>
                <w:sz w:val="17"/>
              </w:rPr>
              <w:t>Reentrenar con compuerta (</w:t>
            </w:r>
            <w:r>
              <w:rPr>
                <w:rFonts w:ascii="Consolas" w:hAnsi="Consolas" w:eastAsia="Consolas"/>
                <w:b w:val="0"/>
                <w:i w:val="0"/>
                <w:sz w:val="15"/>
              </w:rPr>
              <w:t>_reentrenar</w:t>
            </w:r>
            <w:r>
              <w:rPr>
                <w:b w:val="0"/>
                <w:i w:val="0"/>
                <w:sz w:val="17"/>
              </w:rPr>
              <w:t>)</w:t>
            </w:r>
          </w:p>
        </w:tc>
        <w:tc>
          <w:tcPr>
            <w:tcW w:type="dxa" w:w="5953"/>
            <w:shd w:val="clear" w:color="auto" w:fill="EEF2F7"/>
          </w:tcPr>
          <w:p>
            <w:r/>
            <w:r>
              <w:rPr>
                <w:b w:val="0"/>
                <w:i w:val="0"/>
                <w:sz w:val="17"/>
              </w:rPr>
              <w:t>Reemplaza el modelo solo si su precisión balanceada en el holdout es mayor o igual a la del modelo vigente.</w:t>
            </w:r>
          </w:p>
        </w:tc>
      </w:tr>
    </w:tbl>
    <w:p>
      <w:pPr>
        <w:spacing w:after="40"/>
      </w:pPr>
    </w:p>
    <w:p>
      <w:pPr>
        <w:pStyle w:val="Heading2"/>
      </w:pPr>
      <w:r>
        <w:t>9.5 Diagramas de secuencia UML</w:t>
      </w:r>
    </w:p>
    <w:p>
      <w:pPr>
        <w:jc w:val="both"/>
      </w:pPr>
      <w:r>
        <w:rPr>
          <w:b w:val="0"/>
          <w:i w:val="0"/>
        </w:rPr>
        <w:t xml:space="preserve">Los participantes son el analista (actor externo), la interfaz, el agente separado en percepción, decisión/aprendizaje y acción, el entorno, la memoria y la API de marketing (servicio externo). Los mensajes usan los </w:t>
      </w:r>
      <w:r>
        <w:rPr>
          <w:b/>
          <w:i w:val="0"/>
        </w:rPr>
        <w:t>nombres reales de los métodos</w:t>
      </w:r>
      <w:r>
        <w:rPr>
          <w:b w:val="0"/>
          <w:i w:val="0"/>
        </w:rPr>
        <w:t xml:space="preserve"> del código. Fuentes en </w:t>
      </w:r>
      <w:r>
        <w:rPr>
          <w:rFonts w:ascii="Consolas" w:hAnsi="Consolas" w:eastAsia="Consolas"/>
          <w:b w:val="0"/>
          <w:i w:val="0"/>
        </w:rPr>
        <w:t>docs/diagramas/*.mmd</w:t>
      </w:r>
      <w:r>
        <w:rPr>
          <w:b w:val="0"/>
          <w:i w:val="0"/>
        </w:rPr>
        <w:t>.</w:t>
      </w:r>
    </w:p>
    <w:p>
      <w:pPr>
        <w:keepNext/>
        <w:jc w:val="center"/>
      </w:pPr>
      <w:r>
        <w:drawing>
          <wp:inline xmlns:a="http://schemas.openxmlformats.org/drawingml/2006/main" xmlns:pic="http://schemas.openxmlformats.org/drawingml/2006/picture">
            <wp:extent cx="6120000" cy="5458493"/>
            <wp:docPr id="2" name="Picture 2"/>
            <wp:cNvGraphicFramePr>
              <a:graphicFrameLocks noChangeAspect="1"/>
            </wp:cNvGraphicFramePr>
            <a:graphic>
              <a:graphicData uri="http://schemas.openxmlformats.org/drawingml/2006/picture">
                <pic:pic>
                  <pic:nvPicPr>
                    <pic:cNvPr id="0" name="secuencia_tipico.png"/>
                    <pic:cNvPicPr/>
                  </pic:nvPicPr>
                  <pic:blipFill>
                    <a:blip r:embed="rId11"/>
                    <a:stretch>
                      <a:fillRect/>
                    </a:stretch>
                  </pic:blipFill>
                  <pic:spPr>
                    <a:xfrm>
                      <a:off x="0" y="0"/>
                      <a:ext cx="6120000" cy="5458493"/>
                    </a:xfrm>
                    <a:prstGeom prst="rect"/>
                  </pic:spPr>
                </pic:pic>
              </a:graphicData>
            </a:graphic>
          </wp:inline>
        </w:drawing>
      </w:r>
    </w:p>
    <w:p>
      <w:pPr>
        <w:jc w:val="center"/>
      </w:pPr>
      <w:r>
        <w:rPr>
          <w:b/>
          <w:sz w:val="19"/>
        </w:rPr>
        <w:t xml:space="preserve">Figura 2. </w:t>
      </w:r>
      <w:r>
        <w:rPr>
          <w:b w:val="0"/>
          <w:i w:val="0"/>
          <w:sz w:val="19"/>
        </w:rPr>
        <w:t>Secuencia del escenario típico (N2): ciclo semanal completo, con fragmentos loop y alt.</w:t>
      </w:r>
    </w:p>
    <w:p>
      <w:pPr>
        <w:keepNext/>
        <w:jc w:val="center"/>
      </w:pPr>
      <w:r>
        <w:drawing>
          <wp:inline xmlns:a="http://schemas.openxmlformats.org/drawingml/2006/main" xmlns:pic="http://schemas.openxmlformats.org/drawingml/2006/picture">
            <wp:extent cx="6120000" cy="5425153"/>
            <wp:docPr id="3" name="Picture 3"/>
            <wp:cNvGraphicFramePr>
              <a:graphicFrameLocks noChangeAspect="1"/>
            </wp:cNvGraphicFramePr>
            <a:graphic>
              <a:graphicData uri="http://schemas.openxmlformats.org/drawingml/2006/picture">
                <pic:pic>
                  <pic:nvPicPr>
                    <pic:cNvPr id="0" name="secuencia_excepcion.png"/>
                    <pic:cNvPicPr/>
                  </pic:nvPicPr>
                  <pic:blipFill>
                    <a:blip r:embed="rId12"/>
                    <a:stretch>
                      <a:fillRect/>
                    </a:stretch>
                  </pic:blipFill>
                  <pic:spPr>
                    <a:xfrm>
                      <a:off x="0" y="0"/>
                      <a:ext cx="6120000" cy="5425153"/>
                    </a:xfrm>
                    <a:prstGeom prst="rect"/>
                  </pic:spPr>
                </pic:pic>
              </a:graphicData>
            </a:graphic>
          </wp:inline>
        </w:drawing>
      </w:r>
    </w:p>
    <w:p>
      <w:pPr>
        <w:jc w:val="center"/>
      </w:pPr>
      <w:r>
        <w:rPr>
          <w:b/>
          <w:sz w:val="19"/>
        </w:rPr>
        <w:t xml:space="preserve">Figura 3. </w:t>
      </w:r>
      <w:r>
        <w:rPr>
          <w:b w:val="0"/>
          <w:i w:val="0"/>
          <w:sz w:val="19"/>
        </w:rPr>
        <w:t>Secuencia del escenario de excepción: registro inválido, usuario sin historial y fallo o timeout de la API, con alt, loop y opt.</w:t>
      </w:r>
    </w:p>
    <w:p>
      <w:pPr>
        <w:jc w:val="both"/>
      </w:pPr>
      <w:r>
        <w:rPr>
          <w:b w:val="0"/>
          <w:i w:val="0"/>
        </w:rPr>
        <w:t>La Figura 2 muestra el escenario típico y la Figura 3 los casos de excepción que la guía pide manejar.</w:t>
      </w:r>
    </w:p>
    <w:p>
      <w:pPr>
        <w:pStyle w:val="Heading2"/>
      </w:pPr>
      <w:r>
        <w:t>9.6 Diferencias entre el diseño y la implementación</w:t>
      </w:r>
    </w:p>
    <w:p>
      <w:pPr>
        <w:keepNext/>
        <w:spacing w:after="40"/>
      </w:pPr>
      <w:r>
        <w:rPr>
          <w:b/>
          <w:sz w:val="19"/>
        </w:rPr>
        <w:t xml:space="preserve">Tabla 10. </w:t>
      </w:r>
      <w:r>
        <w:rPr>
          <w:b w:val="0"/>
          <w:i w:val="0"/>
          <w:sz w:val="19"/>
        </w:rPr>
        <w:t>Diferencias entre el diseño y la implementación.</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2551"/>
            <w:shd w:val="clear" w:color="auto" w:fill="1F3A5F"/>
          </w:tcPr>
          <w:p>
            <w:r/>
            <w:r>
              <w:rPr>
                <w:b/>
                <w:i w:val="0"/>
                <w:color w:val="FFFFFF"/>
                <w:sz w:val="16"/>
              </w:rPr>
              <w:t>Diseño (Tarea 2)</w:t>
            </w:r>
          </w:p>
        </w:tc>
        <w:tc>
          <w:tcPr>
            <w:tcW w:type="dxa" w:w="3685"/>
            <w:shd w:val="clear" w:color="auto" w:fill="1F3A5F"/>
          </w:tcPr>
          <w:p>
            <w:r/>
            <w:r>
              <w:rPr>
                <w:b/>
                <w:i w:val="0"/>
                <w:color w:val="FFFFFF"/>
                <w:sz w:val="16"/>
              </w:rPr>
              <w:t>Implementación</w:t>
            </w:r>
          </w:p>
        </w:tc>
        <w:tc>
          <w:tcPr>
            <w:tcW w:type="dxa" w:w="3402"/>
            <w:shd w:val="clear" w:color="auto" w:fill="1F3A5F"/>
          </w:tcPr>
          <w:p>
            <w:r/>
            <w:r>
              <w:rPr>
                <w:b/>
                <w:i w:val="0"/>
                <w:color w:val="FFFFFF"/>
                <w:sz w:val="16"/>
              </w:rPr>
              <w:t>Por qué</w:t>
            </w:r>
          </w:p>
        </w:tc>
      </w:tr>
      <w:tr>
        <w:tc>
          <w:tcPr>
            <w:tcW w:type="dxa" w:w="2551"/>
          </w:tcPr>
          <w:p>
            <w:r/>
            <w:r>
              <w:rPr>
                <w:b w:val="0"/>
                <w:i w:val="0"/>
                <w:sz w:val="16"/>
              </w:rPr>
              <w:t>Entorno: plataforma piloto real</w:t>
            </w:r>
          </w:p>
        </w:tc>
        <w:tc>
          <w:tcPr>
            <w:tcW w:type="dxa" w:w="3685"/>
          </w:tcPr>
          <w:p>
            <w:r/>
            <w:r>
              <w:rPr>
                <w:b w:val="0"/>
                <w:i w:val="0"/>
                <w:sz w:val="16"/>
              </w:rPr>
              <w:t>Simulador estocástico con semilla y datos sintéticos</w:t>
            </w:r>
          </w:p>
        </w:tc>
        <w:tc>
          <w:tcPr>
            <w:tcW w:type="dxa" w:w="3402"/>
          </w:tcPr>
          <w:p>
            <w:r/>
            <w:r>
              <w:rPr>
                <w:b w:val="0"/>
                <w:i w:val="0"/>
                <w:sz w:val="16"/>
              </w:rPr>
              <w:t>No hay acceso a datos reales; la guía permite un simulador mínimo.</w:t>
            </w:r>
          </w:p>
        </w:tc>
      </w:tr>
      <w:tr>
        <w:tc>
          <w:tcPr>
            <w:tcW w:type="dxa" w:w="2551"/>
            <w:shd w:val="clear" w:color="auto" w:fill="EEF2F7"/>
          </w:tcPr>
          <w:p>
            <w:r/>
            <w:r>
              <w:rPr>
                <w:b w:val="0"/>
                <w:i w:val="0"/>
                <w:sz w:val="16"/>
              </w:rPr>
              <w:t>Entrenamiento con datos históricos etiquetados</w:t>
            </w:r>
          </w:p>
        </w:tc>
        <w:tc>
          <w:tcPr>
            <w:tcW w:type="dxa" w:w="3685"/>
            <w:shd w:val="clear" w:color="auto" w:fill="EEF2F7"/>
          </w:tcPr>
          <w:p>
            <w:r/>
            <w:r>
              <w:rPr>
                <w:b w:val="0"/>
                <w:i w:val="0"/>
                <w:sz w:val="16"/>
              </w:rPr>
              <w:t>«Prehistoria» sintética: 20 poblaciones de entrenamiento (semillas 1–20); modelo y τ elegidos con 5 de validación (501–505)</w:t>
            </w:r>
          </w:p>
        </w:tc>
        <w:tc>
          <w:tcPr>
            <w:tcW w:type="dxa" w:w="3402"/>
            <w:shd w:val="clear" w:color="auto" w:fill="EEF2F7"/>
          </w:tcPr>
          <w:p>
            <w:r/>
            <w:r>
              <w:rPr>
                <w:b w:val="0"/>
                <w:i w:val="0"/>
                <w:sz w:val="16"/>
              </w:rPr>
              <w:t>Sin fuga de datos: las semillas de prueba (1001–1010) se usaron una sola vez.</w:t>
            </w:r>
          </w:p>
        </w:tc>
      </w:tr>
      <w:tr>
        <w:tc>
          <w:tcPr>
            <w:tcW w:type="dxa" w:w="2551"/>
          </w:tcPr>
          <w:p>
            <w:r/>
            <w:r>
              <w:rPr>
                <w:b w:val="0"/>
                <w:i w:val="0"/>
                <w:sz w:val="16"/>
              </w:rPr>
              <w:t>Explicabilidad con SHAP</w:t>
            </w:r>
          </w:p>
        </w:tc>
        <w:tc>
          <w:tcPr>
            <w:tcW w:type="dxa" w:w="3685"/>
          </w:tcPr>
          <w:p>
            <w:r/>
            <w:r>
              <w:rPr>
                <w:b w:val="0"/>
                <w:i w:val="0"/>
                <w:sz w:val="16"/>
              </w:rPr>
              <w:t>Oclusión: aporte = p(x) − p(x con la variable en su mediana)</w:t>
            </w:r>
          </w:p>
        </w:tc>
        <w:tc>
          <w:tcPr>
            <w:tcW w:type="dxa" w:w="3402"/>
          </w:tcPr>
          <w:p>
            <w:r/>
            <w:r>
              <w:rPr>
                <w:b w:val="0"/>
                <w:i w:val="0"/>
                <w:sz w:val="16"/>
              </w:rPr>
              <w:t>Funciona con el modelo calibrado, es rápida y aligera el despliegue.</w:t>
            </w:r>
          </w:p>
        </w:tc>
      </w:tr>
      <w:tr>
        <w:tc>
          <w:tcPr>
            <w:tcW w:type="dxa" w:w="2551"/>
            <w:shd w:val="clear" w:color="auto" w:fill="EEF2F7"/>
          </w:tcPr>
          <w:p>
            <w:r/>
            <w:r>
              <w:rPr>
                <w:b w:val="0"/>
                <w:i w:val="0"/>
                <w:sz w:val="16"/>
              </w:rPr>
              <w:t>«Reglas de priorización»</w:t>
            </w:r>
          </w:p>
        </w:tc>
        <w:tc>
          <w:tcPr>
            <w:tcW w:type="dxa" w:w="3685"/>
            <w:shd w:val="clear" w:color="auto" w:fill="EEF2F7"/>
          </w:tcPr>
          <w:p>
            <w:r/>
            <w:r>
              <w:rPr>
                <w:b w:val="0"/>
                <w:i w:val="0"/>
                <w:sz w:val="16"/>
              </w:rPr>
              <w:t>τ = umbral de Youden en validación (Youden, 1950); presupuesto del top-10 %; enfriamiento de 4 semanas; cola de reintentos</w:t>
            </w:r>
          </w:p>
        </w:tc>
        <w:tc>
          <w:tcPr>
            <w:tcW w:type="dxa" w:w="3402"/>
            <w:shd w:val="clear" w:color="auto" w:fill="EEF2F7"/>
          </w:tcPr>
          <w:p>
            <w:r/>
            <w:r>
              <w:rPr>
                <w:b w:val="0"/>
                <w:i w:val="0"/>
                <w:sz w:val="16"/>
              </w:rPr>
              <w:t>Hacer verificable y reproducible la regla de intervención.</w:t>
            </w:r>
          </w:p>
        </w:tc>
      </w:tr>
      <w:tr>
        <w:tc>
          <w:tcPr>
            <w:tcW w:type="dxa" w:w="2551"/>
          </w:tcPr>
          <w:p>
            <w:r/>
            <w:r>
              <w:rPr>
                <w:b w:val="0"/>
                <w:i w:val="0"/>
                <w:sz w:val="16"/>
              </w:rPr>
              <w:t>Usuarios sin historial: «reconocer la limitación»</w:t>
            </w:r>
          </w:p>
        </w:tc>
        <w:tc>
          <w:tcPr>
            <w:tcW w:type="dxa" w:w="3685"/>
          </w:tcPr>
          <w:p>
            <w:r/>
            <w:r>
              <w:rPr>
                <w:b w:val="0"/>
                <w:i w:val="0"/>
                <w:sz w:val="16"/>
              </w:rPr>
              <w:t>Submodelo sin variables de tendencia y confianza «baja»</w:t>
            </w:r>
          </w:p>
        </w:tc>
        <w:tc>
          <w:tcPr>
            <w:tcW w:type="dxa" w:w="3402"/>
          </w:tcPr>
          <w:p>
            <w:r/>
            <w:r>
              <w:rPr>
                <w:b w:val="0"/>
                <w:i w:val="0"/>
                <w:sz w:val="16"/>
              </w:rPr>
              <w:t>Seguir prediciendo sin inventar historial.</w:t>
            </w:r>
          </w:p>
        </w:tc>
      </w:tr>
      <w:tr>
        <w:tc>
          <w:tcPr>
            <w:tcW w:type="dxa" w:w="2551"/>
            <w:shd w:val="clear" w:color="auto" w:fill="EEF2F7"/>
          </w:tcPr>
          <w:p>
            <w:r/>
            <w:r>
              <w:rPr>
                <w:b w:val="0"/>
                <w:i w:val="0"/>
                <w:sz w:val="16"/>
              </w:rPr>
              <w:t>Aprendizaje con el resultado de la intervención</w:t>
            </w:r>
          </w:p>
        </w:tc>
        <w:tc>
          <w:tcPr>
            <w:tcW w:type="dxa" w:w="3685"/>
            <w:shd w:val="clear" w:color="auto" w:fill="EEF2F7"/>
          </w:tcPr>
          <w:p>
            <w:r/>
            <w:r>
              <w:rPr>
                <w:b w:val="0"/>
                <w:i w:val="0"/>
                <w:sz w:val="16"/>
              </w:rPr>
              <w:t>Se reentrena con los no intervenidos; compuerta con precisión balanceada en un holdout</w:t>
            </w:r>
          </w:p>
        </w:tc>
        <w:tc>
          <w:tcPr>
            <w:tcW w:type="dxa" w:w="3402"/>
            <w:shd w:val="clear" w:color="auto" w:fill="EEF2F7"/>
          </w:tcPr>
          <w:p>
            <w:r/>
            <w:r>
              <w:rPr>
                <w:b w:val="0"/>
                <w:i w:val="0"/>
                <w:sz w:val="16"/>
              </w:rPr>
              <w:t>La oferta altera el resultado de quien la recibe.</w:t>
            </w:r>
          </w:p>
        </w:tc>
      </w:tr>
      <w:tr>
        <w:tc>
          <w:tcPr>
            <w:tcW w:type="dxa" w:w="2551"/>
          </w:tcPr>
          <w:p>
            <w:r/>
            <w:r>
              <w:rPr>
                <w:b w:val="0"/>
                <w:i w:val="0"/>
                <w:sz w:val="16"/>
              </w:rPr>
              <w:t>Medida: precisión general ≥ 75 %</w:t>
            </w:r>
          </w:p>
        </w:tc>
        <w:tc>
          <w:tcPr>
            <w:tcW w:type="dxa" w:w="3685"/>
          </w:tcPr>
          <w:p>
            <w:r/>
            <w:r>
              <w:rPr>
                <w:b w:val="0"/>
                <w:i w:val="0"/>
                <w:sz w:val="16"/>
              </w:rPr>
              <w:t>M1 (se conserva), M1R principal y M2–M6</w:t>
            </w:r>
          </w:p>
        </w:tc>
        <w:tc>
          <w:tcPr>
            <w:tcW w:type="dxa" w:w="3402"/>
          </w:tcPr>
          <w:p>
            <w:r/>
            <w:r>
              <w:rPr>
                <w:b w:val="0"/>
                <w:i w:val="0"/>
                <w:sz w:val="16"/>
              </w:rPr>
              <w:t>Ver sección 7.</w:t>
            </w:r>
          </w:p>
        </w:tc>
      </w:tr>
    </w:tbl>
    <w:p>
      <w:pPr>
        <w:spacing w:after="40"/>
      </w:pPr>
    </w:p>
    <w:p>
      <w:pPr>
        <w:jc w:val="both"/>
      </w:pPr>
      <w:r>
        <w:rPr>
          <w:b/>
          <w:i w:val="0"/>
        </w:rPr>
        <w:t>Transparencia sobre la calibración del simulador.</w:t>
      </w:r>
      <w:r>
        <w:rPr>
          <w:b w:val="0"/>
          <w:i w:val="0"/>
        </w:rPr>
        <w:t xml:space="preserve"> Antes de usar las semillas de prueba encontramos un error: el código sorteaba entre 1 y 3 semanas el inicio de la caída de consumo, cuando el parámetro congelado </w:t>
      </w:r>
      <w:r>
        <w:rPr>
          <w:rFonts w:ascii="Consolas" w:hAnsi="Consolas" w:eastAsia="Consolas"/>
          <w:b w:val="0"/>
          <w:i w:val="0"/>
        </w:rPr>
        <w:t>semanas_decaimiento_previo</w:t>
      </w:r>
      <w:r>
        <w:rPr>
          <w:b w:val="0"/>
          <w:i w:val="0"/>
        </w:rPr>
        <w:t xml:space="preserve"> fija 3 semanas. Lo corregimos y revertimos un ajuste de ruido que habíamos hecho con el código erróneo. Con los valores iniciales se cumple el criterio de dificultad congelado: AUC de la regresión logística = 0,7504, dentro de 0,70–0,90, medido solo con semillas de entrenamiento. Todo quedó registrado en el historial de git y en la bitácora de IA.</w:t>
      </w:r>
    </w:p>
    <w:p>
      <w:pPr>
        <w:pStyle w:val="Heading2"/>
      </w:pPr>
      <w:r>
        <w:t>9.7 Pruebas</w:t>
      </w:r>
    </w:p>
    <w:p>
      <w:pPr>
        <w:jc w:val="both"/>
      </w:pPr>
      <w:r>
        <w:rPr>
          <w:b/>
          <w:i w:val="0"/>
        </w:rPr>
        <w:t>Protocolo.</w:t>
      </w:r>
      <w:r>
        <w:rPr>
          <w:b w:val="0"/>
          <w:i w:val="0"/>
        </w:rPr>
        <w:t xml:space="preserve"> Probamos 13 escenarios × 10 semillas de prueba = </w:t>
      </w:r>
      <w:r>
        <w:rPr>
          <w:b/>
          <w:i w:val="0"/>
        </w:rPr>
        <w:t>130 casos</w:t>
      </w:r>
      <w:r>
        <w:rPr>
          <w:b w:val="0"/>
          <w:i w:val="0"/>
        </w:rPr>
        <w:t>: 6 normales (tasas base de 10, 15 y 20 %, base de 500 y 2.000 suscriptores, 12 ciclos y otra mezcla de planes), 4 límite (1 semana de historial, tasas de 3 % y 40 %, deriva de comportamiento) y 3 de falla esperada (10 % de registros inválidos, 20 % de usuarios nuevos sin historial, API con 30 % de fallos). En cada caso el agente arranca desde cero y corre 8 ciclos (12 en N5). M1–M4 se miden contra la cancelación «sin intervención» que conoce el simulador; M5 compara las fallas inyectadas con lo que registró el agente. Cada medida se reporta como media ± desviación estándar sobre sus casos.</w:t>
      </w:r>
    </w:p>
    <w:p>
      <w:pPr>
        <w:keepNext/>
        <w:spacing w:after="40"/>
      </w:pPr>
      <w:r>
        <w:rPr>
          <w:b/>
          <w:sz w:val="19"/>
        </w:rPr>
        <w:t xml:space="preserve">Tabla 11. </w:t>
      </w:r>
      <w:r>
        <w:rPr>
          <w:b w:val="0"/>
          <w:i w:val="0"/>
          <w:sz w:val="19"/>
        </w:rPr>
        <w:t xml:space="preserve">Tabla de resultados (obligatoria). Fuente: </w:t>
      </w:r>
      <w:r>
        <w:rPr>
          <w:rFonts w:ascii="Consolas" w:hAnsi="Consolas" w:eastAsia="Consolas"/>
          <w:b w:val="0"/>
          <w:i w:val="0"/>
          <w:sz w:val="17"/>
        </w:rPr>
        <w:t>results/resultados.csv</w:t>
      </w:r>
      <w:r>
        <w:rPr>
          <w:b w:val="0"/>
          <w:i w:val="0"/>
          <w:sz w:val="19"/>
        </w:rPr>
        <w:t xml:space="preserve">; logs en </w:t>
      </w:r>
      <w:r>
        <w:rPr>
          <w:rFonts w:ascii="Consolas" w:hAnsi="Consolas" w:eastAsia="Consolas"/>
          <w:b w:val="0"/>
          <w:i w:val="0"/>
          <w:sz w:val="17"/>
        </w:rPr>
        <w:t>logs/eval_20261018_1853_2dbc2c8/</w:t>
      </w:r>
      <w:r>
        <w:rPr>
          <w:b w:val="0"/>
          <w:i w:val="0"/>
          <w:sz w:val="19"/>
        </w:rPr>
        <w:t>.</w:t>
      </w:r>
    </w:p>
    <w:tbl>
      <w:tblPr>
        <w:tblStyle w:val="TableGrid"/>
        <w:tblW w:type="auto" w:w="0"/>
        <w:jc w:val="center"/>
        <w:tblLook w:firstColumn="1" w:firstRow="1" w:lastColumn="0" w:lastRow="0" w:noHBand="0" w:noVBand="1" w:val="04A0"/>
      </w:tblPr>
      <w:tblGrid>
        <w:gridCol w:w="1376"/>
        <w:gridCol w:w="1376"/>
        <w:gridCol w:w="1376"/>
        <w:gridCol w:w="1376"/>
        <w:gridCol w:w="1376"/>
        <w:gridCol w:w="1376"/>
        <w:gridCol w:w="1376"/>
      </w:tblGrid>
      <w:tr>
        <w:trPr>
          <w:tblHeader w:val="true"/>
        </w:trPr>
        <w:tc>
          <w:tcPr>
            <w:tcW w:type="dxa" w:w="1928"/>
            <w:shd w:val="clear" w:color="auto" w:fill="1F3A5F"/>
          </w:tcPr>
          <w:p>
            <w:r/>
            <w:r>
              <w:rPr>
                <w:b/>
                <w:i w:val="0"/>
                <w:color w:val="FFFFFF"/>
                <w:sz w:val="15"/>
              </w:rPr>
              <w:t>Medida de desempeño</w:t>
            </w:r>
          </w:p>
        </w:tc>
        <w:tc>
          <w:tcPr>
            <w:tcW w:type="dxa" w:w="1814"/>
            <w:shd w:val="clear" w:color="auto" w:fill="1F3A5F"/>
          </w:tcPr>
          <w:p>
            <w:r/>
            <w:r>
              <w:rPr>
                <w:b/>
                <w:i w:val="0"/>
                <w:color w:val="FFFFFF"/>
                <w:sz w:val="15"/>
              </w:rPr>
              <w:t>Fórmula</w:t>
            </w:r>
          </w:p>
        </w:tc>
        <w:tc>
          <w:tcPr>
            <w:tcW w:type="dxa" w:w="907"/>
            <w:shd w:val="clear" w:color="auto" w:fill="1F3A5F"/>
          </w:tcPr>
          <w:p>
            <w:r/>
            <w:r>
              <w:rPr>
                <w:b/>
                <w:i w:val="0"/>
                <w:color w:val="FFFFFF"/>
                <w:sz w:val="15"/>
              </w:rPr>
              <w:t>Umbral</w:t>
            </w:r>
          </w:p>
        </w:tc>
        <w:tc>
          <w:tcPr>
            <w:tcW w:type="dxa" w:w="794"/>
            <w:shd w:val="clear" w:color="auto" w:fill="1F3A5F"/>
          </w:tcPr>
          <w:p>
            <w:r/>
            <w:r>
              <w:rPr>
                <w:b/>
                <w:i w:val="0"/>
                <w:color w:val="FFFFFF"/>
                <w:sz w:val="15"/>
              </w:rPr>
              <w:t>Casos ejecutados</w:t>
            </w:r>
          </w:p>
        </w:tc>
        <w:tc>
          <w:tcPr>
            <w:tcW w:type="dxa" w:w="1361"/>
            <w:shd w:val="clear" w:color="auto" w:fill="1F3A5F"/>
          </w:tcPr>
          <w:p>
            <w:r/>
            <w:r>
              <w:rPr>
                <w:b/>
                <w:i w:val="0"/>
                <w:color w:val="FFFFFF"/>
                <w:sz w:val="15"/>
              </w:rPr>
              <w:t>Resultado obtenido</w:t>
            </w:r>
          </w:p>
        </w:tc>
        <w:tc>
          <w:tcPr>
            <w:tcW w:type="dxa" w:w="737"/>
            <w:shd w:val="clear" w:color="auto" w:fill="1F3A5F"/>
          </w:tcPr>
          <w:p>
            <w:r/>
            <w:r>
              <w:rPr>
                <w:b/>
                <w:i w:val="0"/>
                <w:color w:val="FFFFFF"/>
                <w:sz w:val="15"/>
              </w:rPr>
              <w:t>¿Cumple?</w:t>
            </w:r>
          </w:p>
        </w:tc>
        <w:tc>
          <w:tcPr>
            <w:tcW w:type="dxa" w:w="2098"/>
            <w:shd w:val="clear" w:color="auto" w:fill="1F3A5F"/>
          </w:tcPr>
          <w:p>
            <w:r/>
            <w:r>
              <w:rPr>
                <w:b/>
                <w:i w:val="0"/>
                <w:color w:val="FFFFFF"/>
                <w:sz w:val="15"/>
              </w:rPr>
              <w:t>Evidencia (log, minuto del video)</w:t>
            </w:r>
          </w:p>
        </w:tc>
      </w:tr>
      <w:tr>
        <w:tc>
          <w:tcPr>
            <w:tcW w:type="dxa" w:w="1928"/>
          </w:tcPr>
          <w:p>
            <w:r/>
            <w:r>
              <w:rPr>
                <w:b w:val="0"/>
                <w:i w:val="0"/>
                <w:sz w:val="15"/>
              </w:rPr>
              <w:t>M1: Precisión general (accuracy), medida SMART original</w:t>
            </w:r>
          </w:p>
        </w:tc>
        <w:tc>
          <w:tcPr>
            <w:tcW w:type="dxa" w:w="1814"/>
          </w:tcPr>
          <w:p>
            <w:r/>
            <w:r>
              <w:rPr>
                <w:b w:val="0"/>
                <w:i w:val="0"/>
                <w:sz w:val="15"/>
              </w:rPr>
              <w:t>(TP + TN) / N, en cada ciclo semanal, agrupado por caso</w:t>
            </w:r>
          </w:p>
        </w:tc>
        <w:tc>
          <w:tcPr>
            <w:tcW w:type="dxa" w:w="907"/>
          </w:tcPr>
          <w:p>
            <w:r/>
            <w:r>
              <w:rPr>
                <w:b w:val="0"/>
                <w:i w:val="0"/>
                <w:sz w:val="15"/>
              </w:rPr>
              <w:t>≥ 75,0 %</w:t>
            </w:r>
          </w:p>
        </w:tc>
        <w:tc>
          <w:tcPr>
            <w:tcW w:type="dxa" w:w="794"/>
          </w:tcPr>
          <w:p>
            <w:r/>
            <w:r>
              <w:rPr>
                <w:b w:val="0"/>
                <w:i w:val="0"/>
                <w:sz w:val="15"/>
              </w:rPr>
              <w:t>130</w:t>
            </w:r>
          </w:p>
        </w:tc>
        <w:tc>
          <w:tcPr>
            <w:tcW w:type="dxa" w:w="1361"/>
          </w:tcPr>
          <w:p>
            <w:r/>
            <w:r>
              <w:rPr>
                <w:b w:val="0"/>
                <w:i w:val="0"/>
                <w:sz w:val="15"/>
              </w:rPr>
              <w:t>74,5 % ± 1,2 %</w:t>
            </w:r>
          </w:p>
        </w:tc>
        <w:tc>
          <w:tcPr>
            <w:tcW w:type="dxa" w:w="737"/>
          </w:tcPr>
          <w:p>
            <w:r/>
            <w:r>
              <w:rPr>
                <w:b/>
                <w:i w:val="0"/>
                <w:sz w:val="15"/>
              </w:rPr>
              <w:t>No</w:t>
            </w:r>
          </w:p>
        </w:tc>
        <w:tc>
          <w:tcPr>
            <w:tcW w:type="dxa" w:w="2098"/>
          </w:tcPr>
          <w:p>
            <w:r/>
            <w:r>
              <w:rPr>
                <w:b w:val="0"/>
                <w:i w:val="0"/>
                <w:sz w:val="15"/>
              </w:rPr>
              <w:t>detalle_por_caso.csv (M1_accuracy); logs detalle_*_s1001; video: [pendiente]</w:t>
            </w:r>
          </w:p>
        </w:tc>
      </w:tr>
      <w:tr>
        <w:tc>
          <w:tcPr>
            <w:tcW w:type="dxa" w:w="1928"/>
            <w:shd w:val="clear" w:color="auto" w:fill="EEF2F7"/>
          </w:tcPr>
          <w:p>
            <w:r/>
            <w:r>
              <w:rPr>
                <w:b w:val="0"/>
                <w:i w:val="0"/>
                <w:sz w:val="15"/>
              </w:rPr>
              <w:t>M1R: Precisión balanceada (balanced accuracy), medida SMART reformulada</w:t>
            </w:r>
          </w:p>
        </w:tc>
        <w:tc>
          <w:tcPr>
            <w:tcW w:type="dxa" w:w="1814"/>
            <w:shd w:val="clear" w:color="auto" w:fill="EEF2F7"/>
          </w:tcPr>
          <w:p>
            <w:r/>
            <w:r>
              <w:rPr>
                <w:b w:val="0"/>
                <w:i w:val="0"/>
                <w:sz w:val="15"/>
              </w:rPr>
              <w:t>(recall + especificidad) / 2 = (TP/(TP+FN) + TN/(TN+FP)) / 2</w:t>
            </w:r>
          </w:p>
        </w:tc>
        <w:tc>
          <w:tcPr>
            <w:tcW w:type="dxa" w:w="907"/>
            <w:shd w:val="clear" w:color="auto" w:fill="EEF2F7"/>
          </w:tcPr>
          <w:p>
            <w:r/>
            <w:r>
              <w:rPr>
                <w:b w:val="0"/>
                <w:i w:val="0"/>
                <w:sz w:val="15"/>
              </w:rPr>
              <w:t>≥ 75,0 %</w:t>
            </w:r>
          </w:p>
        </w:tc>
        <w:tc>
          <w:tcPr>
            <w:tcW w:type="dxa" w:w="794"/>
            <w:shd w:val="clear" w:color="auto" w:fill="EEF2F7"/>
          </w:tcPr>
          <w:p>
            <w:r/>
            <w:r>
              <w:rPr>
                <w:b w:val="0"/>
                <w:i w:val="0"/>
                <w:sz w:val="15"/>
              </w:rPr>
              <w:t>130</w:t>
            </w:r>
          </w:p>
        </w:tc>
        <w:tc>
          <w:tcPr>
            <w:tcW w:type="dxa" w:w="1361"/>
            <w:shd w:val="clear" w:color="auto" w:fill="EEF2F7"/>
          </w:tcPr>
          <w:p>
            <w:r/>
            <w:r>
              <w:rPr>
                <w:b w:val="0"/>
                <w:i w:val="0"/>
                <w:sz w:val="15"/>
              </w:rPr>
              <w:t>69,3 % ± 0,9 %</w:t>
            </w:r>
          </w:p>
        </w:tc>
        <w:tc>
          <w:tcPr>
            <w:tcW w:type="dxa" w:w="737"/>
            <w:shd w:val="clear" w:color="auto" w:fill="EEF2F7"/>
          </w:tcPr>
          <w:p>
            <w:r/>
            <w:r>
              <w:rPr>
                <w:b/>
                <w:i w:val="0"/>
                <w:sz w:val="15"/>
              </w:rPr>
              <w:t>No</w:t>
            </w:r>
          </w:p>
        </w:tc>
        <w:tc>
          <w:tcPr>
            <w:tcW w:type="dxa" w:w="2098"/>
            <w:shd w:val="clear" w:color="auto" w:fill="EEF2F7"/>
          </w:tcPr>
          <w:p>
            <w:r/>
            <w:r>
              <w:rPr>
                <w:b w:val="0"/>
                <w:i w:val="0"/>
                <w:sz w:val="15"/>
              </w:rPr>
              <w:t>detalle_por_caso.csv (M1R_balanced_accuracy); logs detalle_*_s1001; video: [pendiente]</w:t>
            </w:r>
          </w:p>
        </w:tc>
      </w:tr>
      <w:tr>
        <w:tc>
          <w:tcPr>
            <w:tcW w:type="dxa" w:w="1928"/>
          </w:tcPr>
          <w:p>
            <w:r/>
            <w:r>
              <w:rPr>
                <w:b w:val="0"/>
                <w:i w:val="0"/>
                <w:sz w:val="15"/>
              </w:rPr>
              <w:t>M2: Recall de la clase 'cancela'</w:t>
            </w:r>
          </w:p>
        </w:tc>
        <w:tc>
          <w:tcPr>
            <w:tcW w:type="dxa" w:w="1814"/>
          </w:tcPr>
          <w:p>
            <w:r/>
            <w:r>
              <w:rPr>
                <w:b w:val="0"/>
                <w:i w:val="0"/>
                <w:sz w:val="15"/>
              </w:rPr>
              <w:t>TP / (TP + FN)</w:t>
            </w:r>
          </w:p>
        </w:tc>
        <w:tc>
          <w:tcPr>
            <w:tcW w:type="dxa" w:w="907"/>
          </w:tcPr>
          <w:p>
            <w:r/>
            <w:r>
              <w:rPr>
                <w:b w:val="0"/>
                <w:i w:val="0"/>
                <w:sz w:val="15"/>
              </w:rPr>
              <w:t>≥ 60,0 %</w:t>
            </w:r>
          </w:p>
        </w:tc>
        <w:tc>
          <w:tcPr>
            <w:tcW w:type="dxa" w:w="794"/>
          </w:tcPr>
          <w:p>
            <w:r/>
            <w:r>
              <w:rPr>
                <w:b w:val="0"/>
                <w:i w:val="0"/>
                <w:sz w:val="15"/>
              </w:rPr>
              <w:t>130</w:t>
            </w:r>
          </w:p>
        </w:tc>
        <w:tc>
          <w:tcPr>
            <w:tcW w:type="dxa" w:w="1361"/>
          </w:tcPr>
          <w:p>
            <w:r/>
            <w:r>
              <w:rPr>
                <w:b w:val="0"/>
                <w:i w:val="0"/>
                <w:sz w:val="15"/>
              </w:rPr>
              <w:t>61,1 % ± 2,5 %</w:t>
            </w:r>
          </w:p>
        </w:tc>
        <w:tc>
          <w:tcPr>
            <w:tcW w:type="dxa" w:w="737"/>
          </w:tcPr>
          <w:p>
            <w:r/>
            <w:r>
              <w:rPr>
                <w:b/>
                <w:i w:val="0"/>
                <w:sz w:val="15"/>
              </w:rPr>
              <w:t>Sí</w:t>
            </w:r>
          </w:p>
        </w:tc>
        <w:tc>
          <w:tcPr>
            <w:tcW w:type="dxa" w:w="2098"/>
          </w:tcPr>
          <w:p>
            <w:r/>
            <w:r>
              <w:rPr>
                <w:b w:val="0"/>
                <w:i w:val="0"/>
                <w:sz w:val="15"/>
              </w:rPr>
              <w:t>detalle_por_caso.csv (M2_recall); logs detalle_*_s1001; video: [pendiente]</w:t>
            </w:r>
          </w:p>
        </w:tc>
      </w:tr>
      <w:tr>
        <w:tc>
          <w:tcPr>
            <w:tcW w:type="dxa" w:w="1928"/>
            <w:shd w:val="clear" w:color="auto" w:fill="EEF2F7"/>
          </w:tcPr>
          <w:p>
            <w:r/>
            <w:r>
              <w:rPr>
                <w:b w:val="0"/>
                <w:i w:val="0"/>
                <w:sz w:val="15"/>
              </w:rPr>
              <w:t>M3: Precisión en el top-K (K = 10 % de la base activa)</w:t>
            </w:r>
          </w:p>
        </w:tc>
        <w:tc>
          <w:tcPr>
            <w:tcW w:type="dxa" w:w="1814"/>
            <w:shd w:val="clear" w:color="auto" w:fill="EEF2F7"/>
          </w:tcPr>
          <w:p>
            <w:r/>
            <w:r>
              <w:rPr>
                <w:b w:val="0"/>
                <w:i w:val="0"/>
                <w:sz w:val="15"/>
              </w:rPr>
              <w:t>cancelaciones reales dentro del top-K / K</w:t>
            </w:r>
          </w:p>
        </w:tc>
        <w:tc>
          <w:tcPr>
            <w:tcW w:type="dxa" w:w="907"/>
            <w:shd w:val="clear" w:color="auto" w:fill="EEF2F7"/>
          </w:tcPr>
          <w:p>
            <w:r/>
            <w:r>
              <w:rPr>
                <w:b w:val="0"/>
                <w:i w:val="0"/>
                <w:sz w:val="15"/>
              </w:rPr>
              <w:t>≥ 50,0 %</w:t>
            </w:r>
          </w:p>
        </w:tc>
        <w:tc>
          <w:tcPr>
            <w:tcW w:type="dxa" w:w="794"/>
            <w:shd w:val="clear" w:color="auto" w:fill="EEF2F7"/>
          </w:tcPr>
          <w:p>
            <w:r/>
            <w:r>
              <w:rPr>
                <w:b w:val="0"/>
                <w:i w:val="0"/>
                <w:sz w:val="15"/>
              </w:rPr>
              <w:t>120</w:t>
            </w:r>
          </w:p>
        </w:tc>
        <w:tc>
          <w:tcPr>
            <w:tcW w:type="dxa" w:w="1361"/>
            <w:shd w:val="clear" w:color="auto" w:fill="EEF2F7"/>
          </w:tcPr>
          <w:p>
            <w:r/>
            <w:r>
              <w:rPr>
                <w:b w:val="0"/>
                <w:i w:val="0"/>
                <w:sz w:val="15"/>
              </w:rPr>
              <w:t>57,7 % ± 12,7 %</w:t>
            </w:r>
          </w:p>
        </w:tc>
        <w:tc>
          <w:tcPr>
            <w:tcW w:type="dxa" w:w="737"/>
            <w:shd w:val="clear" w:color="auto" w:fill="EEF2F7"/>
          </w:tcPr>
          <w:p>
            <w:r/>
            <w:r>
              <w:rPr>
                <w:b/>
                <w:i w:val="0"/>
                <w:sz w:val="15"/>
              </w:rPr>
              <w:t>Sí</w:t>
            </w:r>
          </w:p>
        </w:tc>
        <w:tc>
          <w:tcPr>
            <w:tcW w:type="dxa" w:w="2098"/>
            <w:shd w:val="clear" w:color="auto" w:fill="EEF2F7"/>
          </w:tcPr>
          <w:p>
            <w:r/>
            <w:r>
              <w:rPr>
                <w:b w:val="0"/>
                <w:i w:val="0"/>
                <w:sz w:val="15"/>
              </w:rPr>
              <w:t>detalle_por_caso.csv (M3_precision_top_k); logs detalle_*_s1001; video: [pendiente]</w:t>
            </w:r>
          </w:p>
        </w:tc>
      </w:tr>
      <w:tr>
        <w:tc>
          <w:tcPr>
            <w:tcW w:type="dxa" w:w="1928"/>
          </w:tcPr>
          <w:p>
            <w:r/>
            <w:r>
              <w:rPr>
                <w:b w:val="0"/>
                <w:i w:val="0"/>
                <w:sz w:val="15"/>
              </w:rPr>
              <w:t>M4: AUC-ROC</w:t>
            </w:r>
          </w:p>
        </w:tc>
        <w:tc>
          <w:tcPr>
            <w:tcW w:type="dxa" w:w="1814"/>
          </w:tcPr>
          <w:p>
            <w:r/>
            <w:r>
              <w:rPr>
                <w:b w:val="0"/>
                <w:i w:val="0"/>
                <w:sz w:val="15"/>
              </w:rPr>
              <w:t>área bajo la curva ROC de la probabilidad predicha (independiente de tau)</w:t>
            </w:r>
          </w:p>
        </w:tc>
        <w:tc>
          <w:tcPr>
            <w:tcW w:type="dxa" w:w="907"/>
          </w:tcPr>
          <w:p>
            <w:r/>
            <w:r>
              <w:rPr>
                <w:b w:val="0"/>
                <w:i w:val="0"/>
                <w:sz w:val="15"/>
              </w:rPr>
              <w:t>≥ 0,800</w:t>
            </w:r>
          </w:p>
        </w:tc>
        <w:tc>
          <w:tcPr>
            <w:tcW w:type="dxa" w:w="794"/>
          </w:tcPr>
          <w:p>
            <w:r/>
            <w:r>
              <w:rPr>
                <w:b w:val="0"/>
                <w:i w:val="0"/>
                <w:sz w:val="15"/>
              </w:rPr>
              <w:t>130</w:t>
            </w:r>
          </w:p>
        </w:tc>
        <w:tc>
          <w:tcPr>
            <w:tcW w:type="dxa" w:w="1361"/>
          </w:tcPr>
          <w:p>
            <w:r/>
            <w:r>
              <w:rPr>
                <w:b w:val="0"/>
                <w:i w:val="0"/>
                <w:sz w:val="15"/>
              </w:rPr>
              <w:t>0,761 ± 0,011</w:t>
            </w:r>
          </w:p>
        </w:tc>
        <w:tc>
          <w:tcPr>
            <w:tcW w:type="dxa" w:w="737"/>
          </w:tcPr>
          <w:p>
            <w:r/>
            <w:r>
              <w:rPr>
                <w:b/>
                <w:i w:val="0"/>
                <w:sz w:val="15"/>
              </w:rPr>
              <w:t>No</w:t>
            </w:r>
          </w:p>
        </w:tc>
        <w:tc>
          <w:tcPr>
            <w:tcW w:type="dxa" w:w="2098"/>
          </w:tcPr>
          <w:p>
            <w:r/>
            <w:r>
              <w:rPr>
                <w:b w:val="0"/>
                <w:i w:val="0"/>
                <w:sz w:val="15"/>
              </w:rPr>
              <w:t>detalle_por_caso.csv (M4_auc); logs detalle_*_s1001; video: [pendiente]</w:t>
            </w:r>
          </w:p>
        </w:tc>
      </w:tr>
      <w:tr>
        <w:tc>
          <w:tcPr>
            <w:tcW w:type="dxa" w:w="1928"/>
            <w:shd w:val="clear" w:color="auto" w:fill="EEF2F7"/>
          </w:tcPr>
          <w:p>
            <w:r/>
            <w:r>
              <w:rPr>
                <w:b w:val="0"/>
                <w:i w:val="0"/>
                <w:sz w:val="15"/>
              </w:rPr>
              <w:t>M5: Robustez ante entradas inválidas y fallas del entorno</w:t>
            </w:r>
          </w:p>
        </w:tc>
        <w:tc>
          <w:tcPr>
            <w:tcW w:type="dxa" w:w="1814"/>
            <w:shd w:val="clear" w:color="auto" w:fill="EEF2F7"/>
          </w:tcPr>
          <w:p>
            <w:r/>
            <w:r>
              <w:rPr>
                <w:b w:val="0"/>
                <w:i w:val="0"/>
                <w:sz w:val="15"/>
              </w:rPr>
              <w:t>eventos de falla manejados correctamente / eventos de falla inyectados</w:t>
            </w:r>
          </w:p>
        </w:tc>
        <w:tc>
          <w:tcPr>
            <w:tcW w:type="dxa" w:w="907"/>
            <w:shd w:val="clear" w:color="auto" w:fill="EEF2F7"/>
          </w:tcPr>
          <w:p>
            <w:r/>
            <w:r>
              <w:rPr>
                <w:b w:val="0"/>
                <w:i w:val="0"/>
                <w:sz w:val="15"/>
              </w:rPr>
              <w:t>≥ 100,0 %</w:t>
            </w:r>
          </w:p>
        </w:tc>
        <w:tc>
          <w:tcPr>
            <w:tcW w:type="dxa" w:w="794"/>
            <w:shd w:val="clear" w:color="auto" w:fill="EEF2F7"/>
          </w:tcPr>
          <w:p>
            <w:r/>
            <w:r>
              <w:rPr>
                <w:b w:val="0"/>
                <w:i w:val="0"/>
                <w:sz w:val="15"/>
              </w:rPr>
              <w:t>130</w:t>
            </w:r>
          </w:p>
        </w:tc>
        <w:tc>
          <w:tcPr>
            <w:tcW w:type="dxa" w:w="1361"/>
            <w:shd w:val="clear" w:color="auto" w:fill="EEF2F7"/>
          </w:tcPr>
          <w:p>
            <w:r/>
            <w:r>
              <w:rPr>
                <w:b w:val="0"/>
                <w:i w:val="0"/>
                <w:sz w:val="15"/>
              </w:rPr>
              <w:t>100,0 % ± 0,0 %</w:t>
            </w:r>
          </w:p>
        </w:tc>
        <w:tc>
          <w:tcPr>
            <w:tcW w:type="dxa" w:w="737"/>
            <w:shd w:val="clear" w:color="auto" w:fill="EEF2F7"/>
          </w:tcPr>
          <w:p>
            <w:r/>
            <w:r>
              <w:rPr>
                <w:b/>
                <w:i w:val="0"/>
                <w:sz w:val="15"/>
              </w:rPr>
              <w:t>Sí</w:t>
            </w:r>
          </w:p>
        </w:tc>
        <w:tc>
          <w:tcPr>
            <w:tcW w:type="dxa" w:w="2098"/>
            <w:shd w:val="clear" w:color="auto" w:fill="EEF2F7"/>
          </w:tcPr>
          <w:p>
            <w:r/>
            <w:r>
              <w:rPr>
                <w:b w:val="0"/>
                <w:i w:val="0"/>
                <w:sz w:val="15"/>
              </w:rPr>
              <w:t>detalle_por_caso.csv (M5_robustez); logs detalle_*_s1001; video: [pendiente]</w:t>
            </w:r>
          </w:p>
        </w:tc>
      </w:tr>
      <w:tr>
        <w:tc>
          <w:tcPr>
            <w:tcW w:type="dxa" w:w="1928"/>
          </w:tcPr>
          <w:p>
            <w:r/>
            <w:r>
              <w:rPr>
                <w:b w:val="0"/>
                <w:i w:val="0"/>
                <w:sz w:val="15"/>
              </w:rPr>
              <w:t>M6: Latencia del ciclo semanal</w:t>
            </w:r>
          </w:p>
        </w:tc>
        <w:tc>
          <w:tcPr>
            <w:tcW w:type="dxa" w:w="1814"/>
          </w:tcPr>
          <w:p>
            <w:r/>
            <w:r>
              <w:rPr>
                <w:b w:val="0"/>
                <w:i w:val="0"/>
                <w:sz w:val="15"/>
              </w:rPr>
              <w:t>segundos por ciclo (perceive + decide + act + log), media por caso</w:t>
            </w:r>
          </w:p>
        </w:tc>
        <w:tc>
          <w:tcPr>
            <w:tcW w:type="dxa" w:w="907"/>
          </w:tcPr>
          <w:p>
            <w:r/>
            <w:r>
              <w:rPr>
                <w:b w:val="0"/>
                <w:i w:val="0"/>
                <w:sz w:val="15"/>
              </w:rPr>
              <w:t>≤ 10,00 s</w:t>
            </w:r>
          </w:p>
        </w:tc>
        <w:tc>
          <w:tcPr>
            <w:tcW w:type="dxa" w:w="794"/>
          </w:tcPr>
          <w:p>
            <w:r/>
            <w:r>
              <w:rPr>
                <w:b w:val="0"/>
                <w:i w:val="0"/>
                <w:sz w:val="15"/>
              </w:rPr>
              <w:t>120</w:t>
            </w:r>
          </w:p>
        </w:tc>
        <w:tc>
          <w:tcPr>
            <w:tcW w:type="dxa" w:w="1361"/>
          </w:tcPr>
          <w:p>
            <w:r/>
            <w:r>
              <w:rPr>
                <w:b w:val="0"/>
                <w:i w:val="0"/>
                <w:sz w:val="15"/>
              </w:rPr>
              <w:t>1,73 s ± 0,39 s</w:t>
            </w:r>
          </w:p>
        </w:tc>
        <w:tc>
          <w:tcPr>
            <w:tcW w:type="dxa" w:w="737"/>
          </w:tcPr>
          <w:p>
            <w:r/>
            <w:r>
              <w:rPr>
                <w:b/>
                <w:i w:val="0"/>
                <w:sz w:val="15"/>
              </w:rPr>
              <w:t>Sí</w:t>
            </w:r>
          </w:p>
        </w:tc>
        <w:tc>
          <w:tcPr>
            <w:tcW w:type="dxa" w:w="2098"/>
          </w:tcPr>
          <w:p>
            <w:r/>
            <w:r>
              <w:rPr>
                <w:b w:val="0"/>
                <w:i w:val="0"/>
                <w:sz w:val="15"/>
              </w:rPr>
              <w:t>detalle_por_caso.csv (M6_latencia_media_s); logs detalle_*_s1001; video: [pendiente]</w:t>
            </w:r>
          </w:p>
        </w:tc>
      </w:tr>
    </w:tbl>
    <w:p>
      <w:pPr>
        <w:spacing w:after="40"/>
      </w:pPr>
    </w:p>
    <w:p>
      <w:pPr>
        <w:keepNext/>
        <w:jc w:val="center"/>
      </w:pPr>
      <w:r>
        <w:drawing>
          <wp:inline xmlns:a="http://schemas.openxmlformats.org/drawingml/2006/main" xmlns:pic="http://schemas.openxmlformats.org/drawingml/2006/picture">
            <wp:extent cx="4140000" cy="7406000"/>
            <wp:docPr id="4" name="Picture 4"/>
            <wp:cNvGraphicFramePr>
              <a:graphicFrameLocks noChangeAspect="1"/>
            </wp:cNvGraphicFramePr>
            <a:graphic>
              <a:graphicData uri="http://schemas.openxmlformats.org/drawingml/2006/picture">
                <pic:pic>
                  <pic:nvPicPr>
                    <pic:cNvPr id="0" name="medidas_por_escenario.png"/>
                    <pic:cNvPicPr/>
                  </pic:nvPicPr>
                  <pic:blipFill>
                    <a:blip r:embed="rId13"/>
                    <a:stretch>
                      <a:fillRect/>
                    </a:stretch>
                  </pic:blipFill>
                  <pic:spPr>
                    <a:xfrm>
                      <a:off x="0" y="0"/>
                      <a:ext cx="4140000" cy="7406000"/>
                    </a:xfrm>
                    <a:prstGeom prst="rect"/>
                  </pic:spPr>
                </pic:pic>
              </a:graphicData>
            </a:graphic>
          </wp:inline>
        </w:drawing>
      </w:r>
    </w:p>
    <w:p>
      <w:pPr>
        <w:jc w:val="center"/>
      </w:pPr>
      <w:r>
        <w:rPr>
          <w:b/>
          <w:sz w:val="19"/>
        </w:rPr>
        <w:t xml:space="preserve">Figura 4. </w:t>
      </w:r>
      <w:r>
        <w:rPr>
          <w:b w:val="0"/>
          <w:i w:val="0"/>
          <w:sz w:val="19"/>
        </w:rPr>
        <w:t>Media ± d.e. de cada medida por escenario (10 semillas). Línea punteada = umbral; gris = escenario fuera de la medida.</w:t>
      </w:r>
    </w:p>
    <w:p>
      <w:pPr>
        <w:keepNext/>
        <w:jc w:val="center"/>
      </w:pPr>
      <w:r>
        <w:drawing>
          <wp:inline xmlns:a="http://schemas.openxmlformats.org/drawingml/2006/main" xmlns:pic="http://schemas.openxmlformats.org/drawingml/2006/picture">
            <wp:extent cx="5040000" cy="2240000"/>
            <wp:docPr id="5" name="Picture 5"/>
            <wp:cNvGraphicFramePr>
              <a:graphicFrameLocks noChangeAspect="1"/>
            </wp:cNvGraphicFramePr>
            <a:graphic>
              <a:graphicData uri="http://schemas.openxmlformats.org/drawingml/2006/picture">
                <pic:pic>
                  <pic:nvPicPr>
                    <pic:cNvPr id="0" name="agente_vs_baselines.png"/>
                    <pic:cNvPicPr/>
                  </pic:nvPicPr>
                  <pic:blipFill>
                    <a:blip r:embed="rId14"/>
                    <a:stretch>
                      <a:fillRect/>
                    </a:stretch>
                  </pic:blipFill>
                  <pic:spPr>
                    <a:xfrm>
                      <a:off x="0" y="0"/>
                      <a:ext cx="5040000" cy="2240000"/>
                    </a:xfrm>
                    <a:prstGeom prst="rect"/>
                  </pic:spPr>
                </pic:pic>
              </a:graphicData>
            </a:graphic>
          </wp:inline>
        </w:drawing>
      </w:r>
    </w:p>
    <w:p>
      <w:pPr>
        <w:jc w:val="center"/>
      </w:pPr>
      <w:r>
        <w:rPr>
          <w:b/>
          <w:sz w:val="19"/>
        </w:rPr>
        <w:t xml:space="preserve">Figura 5. </w:t>
      </w:r>
      <w:r>
        <w:rPr>
          <w:b w:val="0"/>
          <w:i w:val="0"/>
          <w:sz w:val="19"/>
        </w:rPr>
        <w:t>Agente frente a los baselines (media de los 130 casos).</w:t>
      </w:r>
    </w:p>
    <w:p>
      <w:pPr>
        <w:jc w:val="both"/>
      </w:pPr>
      <w:r>
        <w:rPr>
          <w:b/>
          <w:i w:val="0"/>
        </w:rPr>
        <w:t>Análisis de resultados.</w:t>
      </w:r>
      <w:r>
        <w:rPr>
          <w:b w:val="0"/>
          <w:i w:val="0"/>
        </w:rPr>
        <w:t xml:space="preserve"> Se cumplen </w:t>
      </w:r>
      <w:r>
        <w:rPr>
          <w:b/>
          <w:i w:val="0"/>
        </w:rPr>
        <w:t>4 de 7</w:t>
      </w:r>
      <w:r>
        <w:rPr>
          <w:b w:val="0"/>
          <w:i w:val="0"/>
        </w:rPr>
        <w:t xml:space="preserve"> medidas (Tabla 11, Figuras 4 y 5).</w:t>
      </w:r>
    </w:p>
    <w:p>
      <w:r>
        <w:rPr>
          <w:b/>
          <w:i w:val="0"/>
        </w:rPr>
        <w:t>Lo que se cumplió:</w:t>
      </w:r>
    </w:p>
    <w:p>
      <w:pPr>
        <w:pStyle w:val="ListBullet"/>
        <w:spacing w:after="40"/>
      </w:pPr>
      <w:r>
        <w:rPr>
          <w:b/>
          <w:i w:val="0"/>
        </w:rPr>
        <w:t>M5 (robustez):</w:t>
      </w:r>
      <w:r>
        <w:rPr>
          <w:b w:val="0"/>
          <w:i w:val="0"/>
        </w:rPr>
        <w:t xml:space="preserve"> cero excepciones en 130 ejecuciones. Se manejaron los 51.194 registros inválidos (rechazados con motivo), las 68.640 predicciones sin historial (baja confianza, sin historial inventado) y los 12.441 fallos o timeouts de la API (reintento o cola).</w:t>
      </w:r>
    </w:p>
    <w:p>
      <w:pPr>
        <w:pStyle w:val="ListBullet"/>
        <w:spacing w:after="40"/>
      </w:pPr>
      <w:r>
        <w:rPr>
          <w:b/>
          <w:i w:val="0"/>
        </w:rPr>
        <w:t>M6 (latencia):</w:t>
      </w:r>
      <w:r>
        <w:rPr>
          <w:b w:val="0"/>
          <w:i w:val="0"/>
        </w:rPr>
        <w:t xml:space="preserve"> 1,73 s de media (escenarios de 2.000 suscriptores) y 3,65 s como máximo.</w:t>
      </w:r>
    </w:p>
    <w:p>
      <w:pPr>
        <w:pStyle w:val="ListBullet"/>
        <w:spacing w:after="40"/>
      </w:pPr>
      <w:r>
        <w:rPr>
          <w:b/>
          <w:i w:val="0"/>
        </w:rPr>
        <w:t>M2 (recall):</w:t>
      </w:r>
      <w:r>
        <w:rPr>
          <w:b w:val="0"/>
          <w:i w:val="0"/>
        </w:rPr>
        <w:t xml:space="preserve"> se cumple por poco (61,1 %).</w:t>
      </w:r>
    </w:p>
    <w:p>
      <w:pPr>
        <w:pStyle w:val="ListBullet"/>
        <w:spacing w:after="40"/>
      </w:pPr>
      <w:r>
        <w:rPr>
          <w:b/>
          <w:i w:val="0"/>
        </w:rPr>
        <w:t>M3 (precisión en el top-10 %):</w:t>
      </w:r>
      <w:r>
        <w:rPr>
          <w:b w:val="0"/>
          <w:i w:val="0"/>
        </w:rPr>
        <w:t xml:space="preserve"> se cumple en promedio, pero depende de la tasa base: 39,3 % en N1 (tasa 10 %) frente a 93,7 % en L3 (tasa 40 %).</w:t>
      </w:r>
    </w:p>
    <w:p>
      <w:r>
        <w:rPr>
          <w:b/>
          <w:i w:val="0"/>
        </w:rPr>
        <w:t>Lo que no se cumplió y por qué:</w:t>
      </w:r>
    </w:p>
    <w:p>
      <w:pPr>
        <w:pStyle w:val="ListBullet"/>
        <w:spacing w:after="40"/>
      </w:pPr>
      <w:r>
        <w:rPr>
          <w:b/>
          <w:i w:val="0"/>
        </w:rPr>
        <w:t>M1 (74,5 %).</w:t>
      </w:r>
      <w:r>
        <w:rPr>
          <w:b w:val="0"/>
          <w:i w:val="0"/>
        </w:rPr>
        <w:t xml:space="preserve"> Queda por debajo del baseline «nadie cancela» (83,9 % de media). Es el efecto que anticipamos al reformular: τ acepta falsos positivos para detectar a quien sí cancela.</w:t>
      </w:r>
    </w:p>
    <w:p>
      <w:pPr>
        <w:pStyle w:val="ListBullet"/>
        <w:spacing w:after="40"/>
      </w:pPr>
      <w:r>
        <w:rPr>
          <w:b/>
          <w:i w:val="0"/>
        </w:rPr>
        <w:t>M1R (69,3 %) y M4 (0,761).</w:t>
      </w:r>
      <w:r>
        <w:rPr>
          <w:b w:val="0"/>
          <w:i w:val="0"/>
        </w:rPr>
        <w:t xml:space="preserve"> La causa principal es la falta de señal. Solo el </w:t>
      </w:r>
      <w:r>
        <w:rPr>
          <w:b/>
          <w:i w:val="0"/>
        </w:rPr>
        <w:t>57,4 %</w:t>
      </w:r>
      <w:r>
        <w:rPr>
          <w:b w:val="0"/>
          <w:i w:val="0"/>
        </w:rPr>
        <w:t xml:space="preserve"> de quienes cancelan en las 4 semanas siguientes mostraba alguna señal cuando se hizo la predicción. Los demás todavía no habían decidido cancelar (la caída empieza 3 semanas antes de la baja) o cancelan sin aviso previo.</w:t>
      </w:r>
    </w:p>
    <w:p>
      <w:pPr>
        <w:pStyle w:val="ListBullet"/>
        <w:spacing w:after="40"/>
      </w:pPr>
      <w:r>
        <w:rPr>
          <w:b w:val="0"/>
          <w:i w:val="0"/>
        </w:rPr>
        <w:t>El agente detecta al 80,0 % de los que tienen señal y solo al 35,8 % de los que no.</w:t>
      </w:r>
    </w:p>
    <w:p>
      <w:pPr>
        <w:pStyle w:val="ListBullet"/>
        <w:spacing w:after="40"/>
      </w:pPr>
      <w:r>
        <w:rPr>
          <w:b w:val="0"/>
          <w:i w:val="0"/>
        </w:rPr>
        <w:t>El AUC es casi idéntico en los 13 escenarios (d.e. 0,011): el techo lo pone la información de los sensores, no un error del modelo.</w:t>
      </w:r>
    </w:p>
    <w:p>
      <w:pPr>
        <w:jc w:val="both"/>
      </w:pPr>
      <w:r>
        <w:rPr>
          <w:b/>
          <w:i w:val="0"/>
        </w:rPr>
        <w:t>Frente a los baselines,</w:t>
      </w:r>
      <w:r>
        <w:rPr>
          <w:b w:val="0"/>
          <w:i w:val="0"/>
        </w:rPr>
        <w:t xml:space="preserve"> el agente supera a la regresión logística sin tendencia en precisión balanceada (69,3 % frente a 68,1 %), recall (61,1 % frente a 55,1 %) y AUC (0,761 frente a 0,747). La memoria y las variables de tendencia aportan una mejora real pero modesta. La compuerta de aprendizaje aceptó 58 reentrenamientos y rechazó 82.</w:t>
      </w:r>
    </w:p>
    <w:p>
      <w:r>
        <w:rPr>
          <w:b/>
          <w:i w:val="0"/>
        </w:rPr>
        <w:t>Qué cambiaríamos:</w:t>
      </w:r>
    </w:p>
    <w:p>
      <w:pPr>
        <w:pStyle w:val="ListBullet"/>
        <w:spacing w:after="40"/>
      </w:pPr>
      <w:r>
        <w:rPr>
          <w:b w:val="0"/>
          <w:i w:val="0"/>
        </w:rPr>
        <w:t>Sumar sensores que anticipen la decisión: visitas a la página de cancelación, tickets de soporte o pagos rechazados.</w:t>
      </w:r>
    </w:p>
    <w:p>
      <w:pPr>
        <w:pStyle w:val="ListBullet"/>
        <w:spacing w:after="40"/>
      </w:pPr>
      <w:r>
        <w:rPr>
          <w:b w:val="0"/>
          <w:i w:val="0"/>
        </w:rPr>
        <w:t>Alinear el horizonte de predicción con la señal: predecir a 2 semanas.</w:t>
      </w:r>
    </w:p>
    <w:p>
      <w:pPr>
        <w:pStyle w:val="ListBullet"/>
        <w:spacing w:after="40"/>
      </w:pPr>
      <w:r>
        <w:rPr>
          <w:b w:val="0"/>
          <w:i w:val="0"/>
        </w:rPr>
        <w:t>Usar un τ adaptativo a la tasa base para no perder recall cuando sube la cancelación (L3).</w:t>
      </w:r>
    </w:p>
    <w:p>
      <w:pPr>
        <w:pStyle w:val="ListBullet"/>
        <w:spacing w:after="40"/>
      </w:pPr>
      <w:r>
        <w:rPr>
          <w:b w:val="0"/>
          <w:i w:val="0"/>
        </w:rPr>
        <w:t>Construir una línea base individual con más de 4 semanas de memoria.</w:t>
      </w:r>
    </w:p>
    <w:p>
      <w:pPr>
        <w:pStyle w:val="Heading2"/>
      </w:pPr>
      <w:r>
        <w:t>9.8 Limitaciones y trabajo futuro</w:t>
      </w:r>
    </w:p>
    <w:p>
      <w:pPr>
        <w:pStyle w:val="ListBullet"/>
        <w:spacing w:after="40"/>
      </w:pPr>
      <w:r>
        <w:rPr>
          <w:b w:val="0"/>
          <w:i w:val="0"/>
        </w:rPr>
        <w:t xml:space="preserve">Los datos son </w:t>
      </w:r>
      <w:r>
        <w:rPr>
          <w:b/>
          <w:i w:val="0"/>
        </w:rPr>
        <w:t>sintéticos</w:t>
      </w:r>
      <w:r>
        <w:rPr>
          <w:b w:val="0"/>
          <w:i w:val="0"/>
        </w:rPr>
        <w:t>: los resultados describen el agente en el simulador, no en una plataforma real. El siguiente paso es validarlo con datos reales anonimizados.</w:t>
      </w:r>
    </w:p>
    <w:p>
      <w:pPr>
        <w:pStyle w:val="ListBullet"/>
        <w:spacing w:after="40"/>
      </w:pPr>
      <w:r>
        <w:rPr>
          <w:b w:val="0"/>
          <w:i w:val="0"/>
        </w:rPr>
        <w:t xml:space="preserve">La evaluación usa la etiqueta «sin intervención», que solo conoce el simulador. En producción haría falta un </w:t>
      </w:r>
      <w:r>
        <w:rPr>
          <w:b/>
          <w:i w:val="0"/>
        </w:rPr>
        <w:t>grupo de control</w:t>
      </w:r>
      <w:r>
        <w:rPr>
          <w:b w:val="0"/>
          <w:i w:val="0"/>
        </w:rPr>
        <w:t xml:space="preserve"> sin ofertas.</w:t>
      </w:r>
    </w:p>
    <w:p>
      <w:pPr>
        <w:pStyle w:val="ListBullet"/>
        <w:spacing w:after="40"/>
      </w:pPr>
      <w:r>
        <w:rPr>
          <w:b w:val="0"/>
          <w:i w:val="0"/>
        </w:rPr>
        <w:t>τ y el modelo se eligieron con la tasa de referencia del 15 %; con tasas muy distintas cae el recall (L3) o la precisión en el top-K (N1, L2).</w:t>
      </w:r>
    </w:p>
    <w:p>
      <w:pPr>
        <w:pStyle w:val="ListBullet"/>
        <w:spacing w:after="40"/>
      </w:pPr>
      <w:r>
        <w:rPr>
          <w:b w:val="0"/>
          <w:i w:val="0"/>
        </w:rPr>
        <w:t>El efecto de la oferta (30 %) es un supuesto del simulador; habría que medirlo con experimentos A/B.</w:t>
      </w:r>
    </w:p>
    <w:p>
      <w:pPr>
        <w:pStyle w:val="ListBullet"/>
        <w:spacing w:after="40"/>
      </w:pPr>
      <w:r>
        <w:rPr>
          <w:b w:val="0"/>
          <w:i w:val="0"/>
        </w:rPr>
        <w:t>Aspectos éticos pendientes del diseño original: privacidad, uso proporcional de los datos, sesgos por plan y efectos de ofrecer beneficios distintos a distintos usuarios.</w:t>
      </w:r>
    </w:p>
    <w:p>
      <w:pPr>
        <w:pStyle w:val="ListBullet"/>
        <w:spacing w:after="40"/>
      </w:pPr>
      <w:r>
        <w:rPr>
          <w:b w:val="0"/>
          <w:i w:val="0"/>
        </w:rPr>
        <w:t>Trabajo futuro: SHAP como explicación complementaria, horizonte de 2 semanas, nuevos sensores y aprendizaje en línea con detección de deriva (L4).</w:t>
      </w:r>
    </w:p>
    <w:p>
      <w:pPr>
        <w:pStyle w:val="Heading2"/>
      </w:pPr>
      <w:r>
        <w:t>9.9 Enlaces</w:t>
      </w:r>
    </w:p>
    <w:p>
      <w:pPr>
        <w:pStyle w:val="ListBullet"/>
        <w:spacing w:after="40"/>
      </w:pPr>
      <w:r>
        <w:rPr>
          <w:b/>
          <w:i w:val="0"/>
        </w:rPr>
        <w:t>Repositorio:</w:t>
      </w:r>
      <w:r>
        <w:rPr>
          <w:b w:val="0"/>
          <w:i w:val="0"/>
        </w:rPr>
        <w:t xml:space="preserve"> https://github.com/criss132/streamretain-agent</w:t>
      </w:r>
    </w:p>
    <w:p>
      <w:pPr>
        <w:pStyle w:val="ListBullet"/>
        <w:spacing w:after="40"/>
      </w:pPr>
      <w:r>
        <w:rPr>
          <w:b/>
          <w:i w:val="0"/>
        </w:rPr>
        <w:t>Plataforma desplegada (Streamlit Community Cloud):</w:t>
      </w:r>
      <w:r>
        <w:rPr>
          <w:b w:val="0"/>
          <w:i w:val="0"/>
        </w:rPr>
        <w:t xml:space="preserve"> https://streamretain-agent.streamlit.app/</w:t>
      </w:r>
    </w:p>
    <w:p>
      <w:pPr>
        <w:pStyle w:val="ListBullet"/>
        <w:spacing w:after="40"/>
      </w:pPr>
      <w:r>
        <w:rPr>
          <w:b/>
          <w:i w:val="0"/>
        </w:rPr>
        <w:t>Video de respaldo:</w:t>
      </w:r>
      <w:r>
        <w:rPr>
          <w:b w:val="0"/>
          <w:i w:val="0"/>
        </w:rPr>
        <w:t xml:space="preserve"> [pendiente]</w:t>
      </w:r>
    </w:p>
    <w:p>
      <w:pPr>
        <w:pStyle w:val="ListBullet"/>
        <w:spacing w:after="40"/>
      </w:pPr>
      <w:r>
        <w:rPr>
          <w:b/>
          <w:i w:val="0"/>
        </w:rPr>
        <w:t>Logs de las pruebas:</w:t>
      </w:r>
      <w:r>
        <w:rPr>
          <w:b w:val="0"/>
          <w:i w:val="0"/>
        </w:rPr>
        <w:t xml:space="preserve"> </w:t>
      </w:r>
      <w:r>
        <w:rPr>
          <w:rFonts w:ascii="Consolas" w:hAnsi="Consolas" w:eastAsia="Consolas"/>
          <w:b w:val="0"/>
          <w:i w:val="0"/>
        </w:rPr>
        <w:t>logs/eval_20261018_1853_2dbc2c8/</w:t>
      </w:r>
      <w:r>
        <w:rPr>
          <w:b w:val="0"/>
          <w:i w:val="0"/>
        </w:rPr>
        <w:t xml:space="preserve"> y </w:t>
      </w:r>
      <w:r>
        <w:rPr>
          <w:rFonts w:ascii="Consolas" w:hAnsi="Consolas" w:eastAsia="Consolas"/>
          <w:b w:val="0"/>
          <w:i w:val="0"/>
        </w:rPr>
        <w:t>results/detalle_por_caso.csv</w:t>
      </w:r>
    </w:p>
    <w:p>
      <w:pPr>
        <w:pStyle w:val="ListBullet"/>
        <w:spacing w:after="40"/>
      </w:pPr>
      <w:r>
        <w:rPr>
          <w:b/>
          <w:i w:val="0"/>
        </w:rPr>
        <w:t>Bitácora de uso de IA:</w:t>
      </w:r>
      <w:r>
        <w:rPr>
          <w:b w:val="0"/>
          <w:i w:val="0"/>
        </w:rPr>
        <w:t xml:space="preserve"> </w:t>
      </w:r>
      <w:r>
        <w:rPr>
          <w:rFonts w:ascii="Consolas" w:hAnsi="Consolas" w:eastAsia="Consolas"/>
          <w:b w:val="0"/>
          <w:i w:val="0"/>
        </w:rPr>
        <w:t>docs/BITACORA_IA.md</w:t>
      </w:r>
    </w:p>
    <w:p>
      <w:pPr>
        <w:pStyle w:val="Heading1"/>
      </w:pPr>
      <w:r>
        <w:t>10. Conclusiones</w:t>
      </w:r>
    </w:p>
    <w:p>
      <w:pPr>
        <w:jc w:val="both"/>
      </w:pPr>
      <w:r>
        <w:rPr>
          <w:b w:val="0"/>
          <w:i w:val="0"/>
        </w:rPr>
        <w:t>StreamRetain-Agent quedó implementado como un agente de aprendizaje con estado interno, con el ciclo percepción → decisión → acción → aprendizaje explícito en el código. Percibe y valida registros semanales, mantiene memoria por suscriptor, estima el riesgo con un modelo calibrado, prioriza con un umbral y un presupuesto, actúa sobre una API externa con manejo de fallas y aprende de los resultados con una compuerta que impide aceptar modelos peores. Todo funciona sobre un simulador estocástico que respeta el ambiente declarado en la sección 3.</w:t>
      </w:r>
    </w:p>
    <w:p>
      <w:pPr>
        <w:jc w:val="both"/>
      </w:pPr>
      <w:r>
        <w:rPr>
          <w:b w:val="0"/>
          <w:i w:val="0"/>
        </w:rPr>
        <w:t>Las pruebas, con umbrales congelados antes de ejecutarlas, muestran un agente robusto y rápido: M5 = 100 % y M6 = 1,73 s. También cumple el recall y la precisión en el top-K. En cambio, no alcanza la meta de discriminación: precisión balanceada de 69,3 % y AUC de 0,761. El análisis apunta a un límite de información y no a un defecto de implementación: solo el 57,4 % de las cancelaciones muestra alguna señal al momento de predecir.</w:t>
      </w:r>
    </w:p>
    <w:p>
      <w:pPr>
        <w:jc w:val="both"/>
      </w:pPr>
      <w:r>
        <w:rPr>
          <w:b w:val="0"/>
          <w:i w:val="0"/>
        </w:rPr>
        <w:t>La lección para la siguiente fase es que la meta del 75 % depende más de qué se observa que de qué modelo se usa. Se necesitan sensores que anticipen la decisión o un horizonte de predicción alineado con la señal. Siguen pendientes los aspectos éticos del diseño original: privacidad, proporcionalidad en el uso de datos, sesgos y equidad de las ofertas.</w:t>
      </w:r>
    </w:p>
    <w:p>
      <w:pPr>
        <w:pStyle w:val="Heading1"/>
      </w:pPr>
      <w:r>
        <w:t>Referencias</w:t>
      </w:r>
    </w:p>
    <w:p>
      <w:pPr>
        <w:ind w:left="567" w:hanging="567"/>
      </w:pPr>
      <w:r>
        <w:rPr>
          <w:i w:val="0"/>
          <w:sz w:val="20"/>
        </w:rPr>
        <w:t xml:space="preserve">IBM. (s. f.). </w:t>
      </w:r>
      <w:r>
        <w:rPr>
          <w:i/>
          <w:sz w:val="20"/>
        </w:rPr>
        <w:t>Components of AI agents</w:t>
      </w:r>
      <w:r>
        <w:rPr>
          <w:i w:val="0"/>
          <w:sz w:val="20"/>
        </w:rPr>
        <w:t>. IBM Think. https://www.ibm.com/mx-es/think/topics/components-of-ai-agents</w:t>
      </w:r>
    </w:p>
    <w:p>
      <w:pPr>
        <w:ind w:left="567" w:hanging="567"/>
      </w:pPr>
      <w:r>
        <w:rPr>
          <w:i w:val="0"/>
          <w:sz w:val="20"/>
        </w:rPr>
        <w:t xml:space="preserve">Maan, J., &amp; Maan, H. (2023). Customer churn prediction model using explainable machine learning. </w:t>
      </w:r>
      <w:r>
        <w:rPr>
          <w:i/>
          <w:sz w:val="20"/>
        </w:rPr>
        <w:t>International Journal of Computer Science Trends and Technology, 11</w:t>
      </w:r>
      <w:r>
        <w:rPr>
          <w:i w:val="0"/>
          <w:sz w:val="20"/>
        </w:rPr>
        <w:t>(1), 33–38.</w:t>
      </w:r>
    </w:p>
    <w:p>
      <w:pPr>
        <w:ind w:left="567" w:hanging="567"/>
      </w:pPr>
      <w:r>
        <w:rPr>
          <w:i w:val="0"/>
          <w:sz w:val="20"/>
        </w:rPr>
        <w:t xml:space="preserve">Pedregosa, F., Varoquaux, G., Gramfort, A., Michel, V., Thirion, B., Grisel, O., Blondel, M., Prettenhofer, P., Weiss, R., Dubourg, V., Vanderplas, J., Passos, A., Cournapeau, D., Brucher, M., Perrot, M., &amp; Duchesnay, É. (2011). Scikit-learn: Machine learning in Python. </w:t>
      </w:r>
      <w:r>
        <w:rPr>
          <w:i/>
          <w:sz w:val="20"/>
        </w:rPr>
        <w:t>Journal of Machine Learning Research, 12</w:t>
      </w:r>
      <w:r>
        <w:rPr>
          <w:i w:val="0"/>
          <w:sz w:val="20"/>
        </w:rPr>
        <w:t>, 2825–2830.</w:t>
      </w:r>
    </w:p>
    <w:p>
      <w:pPr>
        <w:ind w:left="567" w:hanging="567"/>
      </w:pPr>
      <w:r>
        <w:rPr>
          <w:i w:val="0"/>
          <w:sz w:val="20"/>
        </w:rPr>
        <w:t xml:space="preserve">Puertas, E. (2026). </w:t>
      </w:r>
      <w:r>
        <w:rPr>
          <w:i/>
          <w:sz w:val="20"/>
        </w:rPr>
        <w:t>Inteligencia artificial: Agentes inteligentes</w:t>
      </w:r>
      <w:r>
        <w:rPr>
          <w:i w:val="0"/>
          <w:sz w:val="20"/>
        </w:rPr>
        <w:t xml:space="preserve"> [Material de clase]. Universidad Tecnológica de Bolívar.</w:t>
      </w:r>
    </w:p>
    <w:p>
      <w:pPr>
        <w:ind w:left="567" w:hanging="567"/>
      </w:pPr>
      <w:r>
        <w:rPr>
          <w:i w:val="0"/>
          <w:sz w:val="20"/>
        </w:rPr>
        <w:t xml:space="preserve">Russell, S. J., &amp; Norvig, P. (2004). </w:t>
      </w:r>
      <w:r>
        <w:rPr>
          <w:i/>
          <w:sz w:val="20"/>
        </w:rPr>
        <w:t>Inteligencia artificial: Un enfoque moderno</w:t>
      </w:r>
      <w:r>
        <w:rPr>
          <w:i w:val="0"/>
          <w:sz w:val="20"/>
        </w:rPr>
        <w:t xml:space="preserve"> (2.ª ed.). Pearson Educación.</w:t>
      </w:r>
    </w:p>
    <w:p>
      <w:pPr>
        <w:ind w:left="567" w:hanging="567"/>
      </w:pPr>
      <w:r>
        <w:rPr>
          <w:i w:val="0"/>
          <w:sz w:val="20"/>
        </w:rPr>
        <w:t xml:space="preserve">Youden, W. J. (1950). Index for rating diagnostic tests. </w:t>
      </w:r>
      <w:r>
        <w:rPr>
          <w:i/>
          <w:sz w:val="20"/>
        </w:rPr>
        <w:t>Cancer, 3</w:t>
      </w:r>
      <w:r>
        <w:rPr>
          <w:i w:val="0"/>
          <w:sz w:val="20"/>
        </w:rPr>
        <w:t>(1), 32–35.</w:t>
      </w:r>
    </w:p>
    <w:sectPr w:rsidR="00FC693F" w:rsidRPr="0006063C" w:rsidSect="00034616">
      <w:footerReference w:type="default" r:id="rId9"/>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StreamRetain-Agent · Diseño ajustado · Página </w:t>
    </w:r>
    <w:r>
      <w:rPr>
        <w:sz w:val="17"/>
      </w:rPr>
      <w:fldChar w:fldCharType="begin"/>
    </w:r>
    <w:r>
      <w:rPr>
        <w:sz w:val="17"/>
      </w:rPr>
      <w:instrText xml:space="preserve">PAGE</w:instrText>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