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55727" w14:textId="77777777" w:rsidR="001E02AE" w:rsidRDefault="000C6981" w:rsidP="00C43653">
      <w:pPr>
        <w:spacing w:after="0" w:line="240" w:lineRule="auto"/>
      </w:pPr>
      <w:r>
        <w:rPr>
          <w:noProof/>
          <w:lang w:val="es-ES" w:eastAsia="es-ES"/>
        </w:rPr>
        <w:drawing>
          <wp:inline distT="0" distB="0" distL="0" distR="0" wp14:anchorId="16C7A4FC" wp14:editId="041117B1">
            <wp:extent cx="5760085" cy="866393"/>
            <wp:effectExtent l="19050" t="0" r="0" b="0"/>
            <wp:docPr id="1" name="Imagen 2" descr="C:\Users\lescano_m\Downloads\Membrete Municipal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lescano_m\Downloads\Membrete Municipalidad.png"/>
                    <pic:cNvPicPr>
                      <a:picLocks noChangeAspect="1" noChangeArrowheads="1"/>
                    </pic:cNvPicPr>
                  </pic:nvPicPr>
                  <pic:blipFill>
                    <a:blip r:embed="rId5" cstate="print"/>
                    <a:srcRect l="2074" t="26115" r="1755" b="15923"/>
                    <a:stretch>
                      <a:fillRect/>
                    </a:stretch>
                  </pic:blipFill>
                  <pic:spPr bwMode="auto">
                    <a:xfrm>
                      <a:off x="0" y="0"/>
                      <a:ext cx="5760085" cy="866393"/>
                    </a:xfrm>
                    <a:prstGeom prst="rect">
                      <a:avLst/>
                    </a:prstGeom>
                    <a:noFill/>
                    <a:ln w="9525">
                      <a:noFill/>
                      <a:miter lim="800000"/>
                      <a:headEnd/>
                      <a:tailEnd/>
                    </a:ln>
                  </pic:spPr>
                </pic:pic>
              </a:graphicData>
            </a:graphic>
          </wp:inline>
        </w:drawing>
      </w:r>
    </w:p>
    <w:p w14:paraId="485D6D00" w14:textId="77777777" w:rsidR="00C43653" w:rsidRPr="00C43653" w:rsidRDefault="00C43653" w:rsidP="00C43653">
      <w:pPr>
        <w:widowControl w:val="0"/>
        <w:spacing w:after="0" w:line="240" w:lineRule="auto"/>
        <w:jc w:val="center"/>
        <w:rPr>
          <w:b/>
          <w:sz w:val="32"/>
          <w:szCs w:val="32"/>
        </w:rPr>
      </w:pPr>
    </w:p>
    <w:p w14:paraId="432B8054" w14:textId="77777777" w:rsidR="00C43653" w:rsidRPr="00F55FB3" w:rsidRDefault="00C43653" w:rsidP="00C43653">
      <w:pPr>
        <w:widowControl w:val="0"/>
        <w:spacing w:after="0" w:line="240" w:lineRule="auto"/>
        <w:jc w:val="center"/>
        <w:rPr>
          <w:rFonts w:ascii="Arial Narrow" w:hAnsi="Arial Narrow"/>
          <w:b/>
          <w:sz w:val="36"/>
          <w:szCs w:val="36"/>
        </w:rPr>
      </w:pPr>
      <w:r w:rsidRPr="00F55FB3">
        <w:rPr>
          <w:rFonts w:ascii="Arial Narrow" w:hAnsi="Arial Narrow"/>
          <w:b/>
          <w:sz w:val="36"/>
          <w:szCs w:val="36"/>
        </w:rPr>
        <w:t xml:space="preserve">Subasta </w:t>
      </w:r>
      <w:r w:rsidR="0073026C">
        <w:rPr>
          <w:rFonts w:ascii="Arial Narrow" w:hAnsi="Arial Narrow"/>
          <w:b/>
          <w:sz w:val="36"/>
          <w:szCs w:val="36"/>
        </w:rPr>
        <w:t>Electrónica Inversa Nº 2022</w:t>
      </w:r>
      <w:r w:rsidR="00F55FB3" w:rsidRPr="00F55FB3">
        <w:rPr>
          <w:rFonts w:ascii="Arial Narrow" w:hAnsi="Arial Narrow"/>
          <w:b/>
          <w:sz w:val="36"/>
          <w:szCs w:val="36"/>
        </w:rPr>
        <w:t>/000</w:t>
      </w:r>
      <w:r w:rsidR="0073026C">
        <w:rPr>
          <w:rFonts w:ascii="Arial Narrow" w:hAnsi="Arial Narrow"/>
          <w:b/>
          <w:sz w:val="36"/>
          <w:szCs w:val="36"/>
        </w:rPr>
        <w:t>2</w:t>
      </w:r>
      <w:r w:rsidR="002609B2">
        <w:rPr>
          <w:rFonts w:ascii="Arial Narrow" w:hAnsi="Arial Narrow"/>
          <w:b/>
          <w:sz w:val="36"/>
          <w:szCs w:val="36"/>
        </w:rPr>
        <w:t>33</w:t>
      </w:r>
    </w:p>
    <w:p w14:paraId="76E6DC7F" w14:textId="77777777" w:rsidR="00C43653" w:rsidRPr="00F55FB3" w:rsidRDefault="00C43653" w:rsidP="00C43653">
      <w:pPr>
        <w:widowControl w:val="0"/>
        <w:spacing w:after="0" w:line="240" w:lineRule="auto"/>
        <w:jc w:val="center"/>
        <w:rPr>
          <w:rFonts w:ascii="Arial Narrow" w:hAnsi="Arial Narrow"/>
          <w:b/>
          <w:sz w:val="36"/>
          <w:szCs w:val="36"/>
        </w:rPr>
      </w:pPr>
      <w:r w:rsidRPr="00F55FB3">
        <w:rPr>
          <w:rFonts w:ascii="Arial Narrow" w:hAnsi="Arial Narrow"/>
          <w:b/>
          <w:sz w:val="36"/>
          <w:szCs w:val="36"/>
        </w:rPr>
        <w:t xml:space="preserve">Expte. </w:t>
      </w:r>
      <w:r w:rsidR="002609B2">
        <w:rPr>
          <w:rFonts w:ascii="Arial Narrow" w:hAnsi="Arial Narrow"/>
          <w:b/>
          <w:sz w:val="36"/>
          <w:szCs w:val="36"/>
        </w:rPr>
        <w:t>003</w:t>
      </w:r>
      <w:r w:rsidR="00F55FB3" w:rsidRPr="00F55FB3">
        <w:rPr>
          <w:rFonts w:ascii="Arial Narrow" w:hAnsi="Arial Narrow"/>
          <w:b/>
          <w:sz w:val="36"/>
          <w:szCs w:val="36"/>
        </w:rPr>
        <w:t>.</w:t>
      </w:r>
      <w:r w:rsidR="002609B2">
        <w:rPr>
          <w:rFonts w:ascii="Arial Narrow" w:hAnsi="Arial Narrow"/>
          <w:b/>
          <w:sz w:val="36"/>
          <w:szCs w:val="36"/>
        </w:rPr>
        <w:t>937</w:t>
      </w:r>
      <w:r w:rsidR="0073026C">
        <w:rPr>
          <w:rFonts w:ascii="Arial Narrow" w:hAnsi="Arial Narrow"/>
          <w:b/>
          <w:sz w:val="36"/>
          <w:szCs w:val="36"/>
        </w:rPr>
        <w:t>/202</w:t>
      </w:r>
      <w:r w:rsidR="002609B2">
        <w:rPr>
          <w:rFonts w:ascii="Arial Narrow" w:hAnsi="Arial Narrow"/>
          <w:b/>
          <w:sz w:val="36"/>
          <w:szCs w:val="36"/>
        </w:rPr>
        <w:t>2</w:t>
      </w:r>
    </w:p>
    <w:p w14:paraId="11A5E701" w14:textId="77777777" w:rsidR="00C43653" w:rsidRPr="00F55FB3" w:rsidRDefault="00C43653" w:rsidP="00C43653">
      <w:pPr>
        <w:widowControl w:val="0"/>
        <w:spacing w:after="0" w:line="240" w:lineRule="auto"/>
        <w:jc w:val="center"/>
        <w:rPr>
          <w:rFonts w:ascii="Arial Narrow" w:hAnsi="Arial Narrow" w:cs="Arial"/>
          <w:b/>
          <w:sz w:val="32"/>
          <w:szCs w:val="32"/>
        </w:rPr>
      </w:pPr>
    </w:p>
    <w:p w14:paraId="249BD660" w14:textId="77777777" w:rsidR="00C35A11" w:rsidRPr="00F55FB3" w:rsidRDefault="002609B2" w:rsidP="00C43653">
      <w:pPr>
        <w:widowControl w:val="0"/>
        <w:spacing w:after="0" w:line="240" w:lineRule="auto"/>
        <w:jc w:val="center"/>
        <w:rPr>
          <w:rFonts w:ascii="Arial Narrow" w:hAnsi="Arial Narrow" w:cs="Arial"/>
          <w:b/>
          <w:sz w:val="32"/>
          <w:szCs w:val="32"/>
        </w:rPr>
      </w:pPr>
      <w:r>
        <w:rPr>
          <w:rFonts w:ascii="Arial Narrow" w:hAnsi="Arial Narrow" w:cs="Arial"/>
          <w:b/>
          <w:sz w:val="32"/>
          <w:szCs w:val="32"/>
        </w:rPr>
        <w:t>Servicio de Limpieza y Pintura de Muros con Provisión de Materiales</w:t>
      </w:r>
      <w:r w:rsidR="0073026C">
        <w:rPr>
          <w:rFonts w:ascii="Arial Narrow" w:hAnsi="Arial Narrow" w:cs="Arial"/>
          <w:b/>
          <w:sz w:val="32"/>
          <w:szCs w:val="32"/>
        </w:rPr>
        <w:t>. -</w:t>
      </w:r>
    </w:p>
    <w:p w14:paraId="097BDF85" w14:textId="77777777" w:rsidR="00F55FB3" w:rsidRPr="00F55FB3" w:rsidRDefault="00F55FB3" w:rsidP="00C43653">
      <w:pPr>
        <w:widowControl w:val="0"/>
        <w:spacing w:after="0" w:line="240" w:lineRule="auto"/>
        <w:jc w:val="center"/>
        <w:rPr>
          <w:rFonts w:ascii="Arial Narrow" w:hAnsi="Arial Narrow" w:cs="Arial"/>
          <w:b/>
          <w:sz w:val="32"/>
          <w:szCs w:val="32"/>
          <w:u w:val="single"/>
        </w:rPr>
      </w:pPr>
    </w:p>
    <w:p w14:paraId="703A9F18" w14:textId="77777777" w:rsidR="00C43653" w:rsidRPr="00F55FB3" w:rsidRDefault="00C43653" w:rsidP="00C43653">
      <w:pPr>
        <w:widowControl w:val="0"/>
        <w:spacing w:after="0" w:line="240" w:lineRule="auto"/>
        <w:jc w:val="center"/>
        <w:rPr>
          <w:rFonts w:ascii="Arial Narrow" w:hAnsi="Arial Narrow" w:cs="Arial"/>
          <w:b/>
          <w:sz w:val="40"/>
          <w:szCs w:val="40"/>
          <w:u w:val="single"/>
        </w:rPr>
      </w:pPr>
      <w:r w:rsidRPr="00F55FB3">
        <w:rPr>
          <w:rFonts w:ascii="Arial Narrow" w:hAnsi="Arial Narrow" w:cs="Arial"/>
          <w:b/>
          <w:sz w:val="40"/>
          <w:szCs w:val="40"/>
          <w:u w:val="single"/>
        </w:rPr>
        <w:t>NOTA  ACLARATORIA Nº 1</w:t>
      </w:r>
    </w:p>
    <w:p w14:paraId="13F65B40" w14:textId="77777777" w:rsidR="001E02AE" w:rsidRPr="00F55FB3" w:rsidRDefault="001E02AE" w:rsidP="00C43653">
      <w:pPr>
        <w:spacing w:after="0" w:line="240" w:lineRule="auto"/>
        <w:ind w:firstLine="708"/>
        <w:jc w:val="both"/>
        <w:rPr>
          <w:rFonts w:ascii="Arial Narrow" w:eastAsia="Times New Roman" w:hAnsi="Arial Narrow" w:cs="Arial"/>
          <w:sz w:val="32"/>
          <w:szCs w:val="32"/>
          <w:lang w:val="es-ES" w:eastAsia="es-ES"/>
        </w:rPr>
      </w:pPr>
    </w:p>
    <w:p w14:paraId="6D175FB8" w14:textId="1A2B5AB2" w:rsidR="001E02AE" w:rsidRPr="00F55FB3" w:rsidRDefault="001E02AE" w:rsidP="00C43653">
      <w:pPr>
        <w:ind w:firstLine="708"/>
        <w:jc w:val="both"/>
        <w:rPr>
          <w:rFonts w:ascii="Arial Narrow" w:hAnsi="Arial Narrow"/>
          <w:sz w:val="28"/>
          <w:szCs w:val="28"/>
        </w:rPr>
      </w:pPr>
      <w:r w:rsidRPr="00F55FB3">
        <w:rPr>
          <w:rFonts w:ascii="Arial Narrow" w:hAnsi="Arial Narrow"/>
          <w:sz w:val="28"/>
          <w:szCs w:val="28"/>
        </w:rPr>
        <w:t xml:space="preserve">Por medio de la presente se </w:t>
      </w:r>
      <w:r w:rsidR="00C43653" w:rsidRPr="00F55FB3">
        <w:rPr>
          <w:rFonts w:ascii="Arial Narrow" w:hAnsi="Arial Narrow"/>
          <w:sz w:val="28"/>
          <w:szCs w:val="28"/>
        </w:rPr>
        <w:t xml:space="preserve">informa a los oferentes interesados </w:t>
      </w:r>
      <w:r w:rsidR="00C35A11" w:rsidRPr="00F55FB3">
        <w:rPr>
          <w:rFonts w:ascii="Arial Narrow" w:hAnsi="Arial Narrow"/>
          <w:sz w:val="28"/>
          <w:szCs w:val="28"/>
        </w:rPr>
        <w:t>en la subasta de referencia</w:t>
      </w:r>
      <w:r w:rsidR="0063760F">
        <w:rPr>
          <w:rFonts w:ascii="Arial Narrow" w:hAnsi="Arial Narrow"/>
          <w:sz w:val="28"/>
          <w:szCs w:val="28"/>
        </w:rPr>
        <w:t xml:space="preserve"> que</w:t>
      </w:r>
      <w:r w:rsidR="00565751">
        <w:rPr>
          <w:rFonts w:ascii="Arial Narrow" w:hAnsi="Arial Narrow"/>
          <w:sz w:val="28"/>
          <w:szCs w:val="28"/>
        </w:rPr>
        <w:t>,</w:t>
      </w:r>
      <w:r w:rsidR="0063760F">
        <w:rPr>
          <w:rFonts w:ascii="Arial Narrow" w:hAnsi="Arial Narrow"/>
          <w:sz w:val="28"/>
          <w:szCs w:val="28"/>
        </w:rPr>
        <w:t xml:space="preserve"> por definición del Área Requirente,</w:t>
      </w:r>
      <w:r w:rsidR="00C35A11" w:rsidRPr="00F55FB3">
        <w:rPr>
          <w:rFonts w:ascii="Arial Narrow" w:hAnsi="Arial Narrow"/>
          <w:sz w:val="28"/>
          <w:szCs w:val="28"/>
        </w:rPr>
        <w:t xml:space="preserve"> </w:t>
      </w:r>
      <w:r w:rsidR="001B2B05">
        <w:rPr>
          <w:rFonts w:ascii="Arial Narrow" w:hAnsi="Arial Narrow"/>
          <w:sz w:val="28"/>
          <w:szCs w:val="28"/>
        </w:rPr>
        <w:t>en el apartado 1</w:t>
      </w:r>
      <w:r w:rsidR="002609B2">
        <w:rPr>
          <w:rFonts w:ascii="Arial Narrow" w:hAnsi="Arial Narrow"/>
          <w:sz w:val="28"/>
          <w:szCs w:val="28"/>
        </w:rPr>
        <w:t>2</w:t>
      </w:r>
      <w:r w:rsidR="00C35A11" w:rsidRPr="00F55FB3">
        <w:rPr>
          <w:rFonts w:ascii="Arial Narrow" w:hAnsi="Arial Narrow"/>
          <w:sz w:val="28"/>
          <w:szCs w:val="28"/>
        </w:rPr>
        <w:t xml:space="preserve">° </w:t>
      </w:r>
      <w:r w:rsidR="00342726" w:rsidRPr="00F55FB3">
        <w:rPr>
          <w:rFonts w:ascii="Arial Narrow" w:hAnsi="Arial Narrow"/>
          <w:sz w:val="28"/>
          <w:szCs w:val="28"/>
        </w:rPr>
        <w:t>del</w:t>
      </w:r>
      <w:r w:rsidR="001B2B05">
        <w:rPr>
          <w:rFonts w:ascii="Arial Narrow" w:hAnsi="Arial Narrow"/>
          <w:sz w:val="28"/>
          <w:szCs w:val="28"/>
        </w:rPr>
        <w:t xml:space="preserve"> Pliego de Bases y Condiciones</w:t>
      </w:r>
      <w:r w:rsidR="00C35A11" w:rsidRPr="00F55FB3">
        <w:rPr>
          <w:rFonts w:ascii="Arial Narrow" w:hAnsi="Arial Narrow"/>
          <w:sz w:val="28"/>
          <w:szCs w:val="28"/>
        </w:rPr>
        <w:t xml:space="preserve"> Particulares</w:t>
      </w:r>
    </w:p>
    <w:p w14:paraId="34BFFBE6" w14:textId="77777777" w:rsidR="00C35A11" w:rsidRPr="00F55FB3" w:rsidRDefault="00C35A11" w:rsidP="00C35A11">
      <w:pPr>
        <w:ind w:firstLine="708"/>
        <w:jc w:val="both"/>
        <w:rPr>
          <w:rFonts w:ascii="Arial Narrow" w:hAnsi="Arial Narrow"/>
          <w:b/>
          <w:sz w:val="28"/>
          <w:szCs w:val="28"/>
        </w:rPr>
      </w:pPr>
      <w:r w:rsidRPr="00F55FB3">
        <w:rPr>
          <w:rFonts w:ascii="Arial Narrow" w:hAnsi="Arial Narrow"/>
          <w:b/>
          <w:sz w:val="28"/>
          <w:szCs w:val="28"/>
        </w:rPr>
        <w:t>Donde dice:</w:t>
      </w:r>
    </w:p>
    <w:p w14:paraId="442F6951" w14:textId="77777777" w:rsidR="002609B2" w:rsidRDefault="00C35A11" w:rsidP="002609B2">
      <w:pPr>
        <w:widowControl w:val="0"/>
        <w:jc w:val="both"/>
        <w:rPr>
          <w:rFonts w:ascii="Arial Narrow" w:hAnsi="Arial Narrow"/>
        </w:rPr>
      </w:pPr>
      <w:r w:rsidRPr="00F55FB3">
        <w:rPr>
          <w:rFonts w:ascii="Arial Narrow" w:hAnsi="Arial Narrow"/>
          <w:sz w:val="28"/>
          <w:szCs w:val="28"/>
        </w:rPr>
        <w:t>“</w:t>
      </w:r>
      <w:r w:rsidR="002609B2" w:rsidRPr="008E5325">
        <w:rPr>
          <w:rFonts w:ascii="Arial Narrow" w:hAnsi="Arial Narrow"/>
          <w:b/>
          <w:u w:val="single"/>
        </w:rPr>
        <w:t xml:space="preserve">Art. </w:t>
      </w:r>
      <w:r w:rsidR="002609B2">
        <w:rPr>
          <w:rFonts w:ascii="Arial Narrow" w:hAnsi="Arial Narrow"/>
          <w:b/>
          <w:u w:val="single"/>
        </w:rPr>
        <w:t>12</w:t>
      </w:r>
      <w:r w:rsidR="002609B2" w:rsidRPr="008E5325">
        <w:rPr>
          <w:rFonts w:ascii="Arial Narrow" w:hAnsi="Arial Narrow"/>
          <w:b/>
          <w:u w:val="single"/>
        </w:rPr>
        <w:t>°</w:t>
      </w:r>
      <w:r w:rsidR="002814E1" w:rsidRPr="008E5325">
        <w:rPr>
          <w:rFonts w:ascii="Arial Narrow" w:hAnsi="Arial Narrow"/>
          <w:b/>
          <w:u w:val="single"/>
        </w:rPr>
        <w:t>). -</w:t>
      </w:r>
      <w:r w:rsidR="002609B2" w:rsidRPr="008E5325">
        <w:rPr>
          <w:rFonts w:ascii="Arial Narrow" w:hAnsi="Arial Narrow"/>
          <w:b/>
          <w:u w:val="single"/>
        </w:rPr>
        <w:t xml:space="preserve"> DOCUMENTACIÓN REQUERIDA PARA VINCULACIÓN:</w:t>
      </w:r>
      <w:r w:rsidR="002609B2" w:rsidRPr="008E5325">
        <w:rPr>
          <w:rFonts w:ascii="Arial Narrow" w:hAnsi="Arial Narrow"/>
        </w:rPr>
        <w:t xml:space="preserve"> Los interesados deberán presentar para su vinculación a la respectiva subasta, la documentación que a continuación se detalla, en sobre cerrado sin membrete, con la identificación de la subasta que corresponde, conteniendo:</w:t>
      </w:r>
    </w:p>
    <w:p w14:paraId="69E81C32" w14:textId="77777777" w:rsidR="002814E1" w:rsidRPr="002814E1" w:rsidRDefault="002609B2" w:rsidP="002814E1">
      <w:pPr>
        <w:widowControl w:val="0"/>
        <w:numPr>
          <w:ilvl w:val="0"/>
          <w:numId w:val="3"/>
        </w:numPr>
        <w:pBdr>
          <w:top w:val="nil"/>
          <w:left w:val="nil"/>
          <w:bottom w:val="nil"/>
          <w:right w:val="nil"/>
          <w:between w:val="nil"/>
        </w:pBdr>
        <w:spacing w:after="0" w:line="240" w:lineRule="auto"/>
        <w:ind w:left="284" w:hanging="284"/>
        <w:jc w:val="both"/>
        <w:rPr>
          <w:rFonts w:ascii="Arial Narrow" w:hAnsi="Arial Narrow"/>
          <w:sz w:val="28"/>
          <w:szCs w:val="28"/>
        </w:rPr>
      </w:pPr>
      <w:r>
        <w:rPr>
          <w:rFonts w:ascii="Arial Narrow" w:hAnsi="Arial Narrow"/>
        </w:rPr>
        <w:t>Acreditar más de SEIS (6) años en el rubro, a través de la presenta de una constancia de inscripción en la AFIP actualizada.</w:t>
      </w:r>
      <w:r w:rsidR="002814E1" w:rsidRPr="002814E1">
        <w:rPr>
          <w:rFonts w:ascii="Arial Narrow" w:hAnsi="Arial Narrow"/>
          <w:sz w:val="28"/>
          <w:szCs w:val="28"/>
        </w:rPr>
        <w:t xml:space="preserve"> </w:t>
      </w:r>
    </w:p>
    <w:p w14:paraId="088E86DB" w14:textId="77777777" w:rsidR="00C35A11" w:rsidRPr="002814E1" w:rsidRDefault="001B2B05" w:rsidP="002814E1">
      <w:pPr>
        <w:widowControl w:val="0"/>
        <w:numPr>
          <w:ilvl w:val="0"/>
          <w:numId w:val="3"/>
        </w:numPr>
        <w:pBdr>
          <w:top w:val="nil"/>
          <w:left w:val="nil"/>
          <w:bottom w:val="nil"/>
          <w:right w:val="nil"/>
          <w:between w:val="nil"/>
        </w:pBdr>
        <w:autoSpaceDE w:val="0"/>
        <w:autoSpaceDN w:val="0"/>
        <w:adjustRightInd w:val="0"/>
        <w:spacing w:after="0" w:line="240" w:lineRule="auto"/>
        <w:ind w:left="284" w:right="-2" w:hanging="284"/>
        <w:jc w:val="both"/>
        <w:rPr>
          <w:rFonts w:ascii="Arial Narrow" w:hAnsi="Arial Narrow"/>
        </w:rPr>
      </w:pPr>
      <w:r w:rsidRPr="002814E1">
        <w:rPr>
          <w:rFonts w:ascii="Arial Narrow" w:hAnsi="Arial Narrow"/>
          <w:sz w:val="28"/>
          <w:szCs w:val="28"/>
        </w:rPr>
        <w:t>…</w:t>
      </w:r>
      <w:r w:rsidR="00C35A11" w:rsidRPr="002814E1">
        <w:rPr>
          <w:rFonts w:ascii="Arial Narrow" w:hAnsi="Arial Narrow"/>
          <w:sz w:val="28"/>
          <w:szCs w:val="28"/>
        </w:rPr>
        <w:t>”</w:t>
      </w:r>
    </w:p>
    <w:p w14:paraId="5ED8271F" w14:textId="77777777" w:rsidR="002814E1" w:rsidRDefault="002814E1" w:rsidP="00C35A11">
      <w:pPr>
        <w:ind w:firstLine="708"/>
        <w:jc w:val="both"/>
        <w:rPr>
          <w:rFonts w:ascii="Arial Narrow" w:hAnsi="Arial Narrow"/>
          <w:b/>
          <w:sz w:val="28"/>
          <w:szCs w:val="28"/>
        </w:rPr>
      </w:pPr>
    </w:p>
    <w:p w14:paraId="2561A682" w14:textId="77777777" w:rsidR="00C35A11" w:rsidRPr="00F55FB3" w:rsidRDefault="00F55FB3" w:rsidP="00C35A11">
      <w:pPr>
        <w:ind w:firstLine="708"/>
        <w:jc w:val="both"/>
        <w:rPr>
          <w:rFonts w:ascii="Arial Narrow" w:hAnsi="Arial Narrow"/>
          <w:b/>
          <w:sz w:val="28"/>
          <w:szCs w:val="28"/>
        </w:rPr>
      </w:pPr>
      <w:r w:rsidRPr="00F55FB3">
        <w:rPr>
          <w:rFonts w:ascii="Arial Narrow" w:hAnsi="Arial Narrow"/>
          <w:b/>
          <w:sz w:val="28"/>
          <w:szCs w:val="28"/>
        </w:rPr>
        <w:t>Debe</w:t>
      </w:r>
      <w:r w:rsidR="00C35A11" w:rsidRPr="00F55FB3">
        <w:rPr>
          <w:rFonts w:ascii="Arial Narrow" w:hAnsi="Arial Narrow"/>
          <w:b/>
          <w:sz w:val="28"/>
          <w:szCs w:val="28"/>
        </w:rPr>
        <w:t xml:space="preserve"> decir:</w:t>
      </w:r>
    </w:p>
    <w:p w14:paraId="2E3D7F54" w14:textId="77777777" w:rsidR="002609B2" w:rsidRDefault="00C35A11" w:rsidP="002609B2">
      <w:pPr>
        <w:widowControl w:val="0"/>
        <w:jc w:val="both"/>
        <w:rPr>
          <w:rFonts w:ascii="Arial Narrow" w:hAnsi="Arial Narrow"/>
        </w:rPr>
      </w:pPr>
      <w:r w:rsidRPr="00F55FB3">
        <w:rPr>
          <w:rFonts w:ascii="Arial Narrow" w:hAnsi="Arial Narrow"/>
          <w:sz w:val="28"/>
          <w:szCs w:val="28"/>
        </w:rPr>
        <w:t>“</w:t>
      </w:r>
      <w:r w:rsidR="002609B2" w:rsidRPr="008E5325">
        <w:rPr>
          <w:rFonts w:ascii="Arial Narrow" w:hAnsi="Arial Narrow"/>
          <w:b/>
          <w:u w:val="single"/>
        </w:rPr>
        <w:t xml:space="preserve">Art. </w:t>
      </w:r>
      <w:r w:rsidR="002609B2">
        <w:rPr>
          <w:rFonts w:ascii="Arial Narrow" w:hAnsi="Arial Narrow"/>
          <w:b/>
          <w:u w:val="single"/>
        </w:rPr>
        <w:t>12</w:t>
      </w:r>
      <w:r w:rsidR="002609B2" w:rsidRPr="008E5325">
        <w:rPr>
          <w:rFonts w:ascii="Arial Narrow" w:hAnsi="Arial Narrow"/>
          <w:b/>
          <w:u w:val="single"/>
        </w:rPr>
        <w:t>°</w:t>
      </w:r>
      <w:r w:rsidR="002814E1" w:rsidRPr="008E5325">
        <w:rPr>
          <w:rFonts w:ascii="Arial Narrow" w:hAnsi="Arial Narrow"/>
          <w:b/>
          <w:u w:val="single"/>
        </w:rPr>
        <w:t>). -</w:t>
      </w:r>
      <w:r w:rsidR="002609B2" w:rsidRPr="008E5325">
        <w:rPr>
          <w:rFonts w:ascii="Arial Narrow" w:hAnsi="Arial Narrow"/>
          <w:b/>
          <w:u w:val="single"/>
        </w:rPr>
        <w:t xml:space="preserve"> DOCUMENTACIÓN REQUERIDA PARA VINCULACIÓN:</w:t>
      </w:r>
      <w:r w:rsidR="002609B2" w:rsidRPr="008E5325">
        <w:rPr>
          <w:rFonts w:ascii="Arial Narrow" w:hAnsi="Arial Narrow"/>
        </w:rPr>
        <w:t xml:space="preserve"> Los interesados deberán presentar para su vinculación a la respectiva subasta, la documentación que a continuación se detalla, en sobre cerrado sin membrete, con la identificación de la subasta que corresponde, conteniendo:</w:t>
      </w:r>
    </w:p>
    <w:p w14:paraId="084A728A" w14:textId="77777777" w:rsidR="002609B2" w:rsidRDefault="002609B2" w:rsidP="002609B2">
      <w:pPr>
        <w:widowControl w:val="0"/>
        <w:numPr>
          <w:ilvl w:val="0"/>
          <w:numId w:val="4"/>
        </w:numPr>
        <w:pBdr>
          <w:top w:val="nil"/>
          <w:left w:val="nil"/>
          <w:bottom w:val="nil"/>
          <w:right w:val="nil"/>
          <w:between w:val="nil"/>
        </w:pBdr>
        <w:spacing w:after="0" w:line="240" w:lineRule="auto"/>
        <w:ind w:left="284" w:hanging="284"/>
        <w:jc w:val="both"/>
        <w:rPr>
          <w:rFonts w:ascii="Arial Narrow" w:hAnsi="Arial Narrow"/>
        </w:rPr>
      </w:pPr>
      <w:r>
        <w:rPr>
          <w:rFonts w:ascii="Arial Narrow" w:hAnsi="Arial Narrow"/>
        </w:rPr>
        <w:t>Acreditar más de SEIS (6) años en el rubro, a través de la presenta de una constancia de inscripción en la AFIP actualizada.</w:t>
      </w:r>
    </w:p>
    <w:p w14:paraId="2B18D460" w14:textId="77777777" w:rsidR="002609B2" w:rsidRDefault="002609B2" w:rsidP="002609B2">
      <w:pPr>
        <w:widowControl w:val="0"/>
        <w:numPr>
          <w:ilvl w:val="0"/>
          <w:numId w:val="4"/>
        </w:numPr>
        <w:pBdr>
          <w:top w:val="nil"/>
          <w:left w:val="nil"/>
          <w:bottom w:val="nil"/>
          <w:right w:val="nil"/>
          <w:between w:val="nil"/>
        </w:pBdr>
        <w:spacing w:after="0" w:line="240" w:lineRule="auto"/>
        <w:ind w:left="284" w:hanging="284"/>
        <w:jc w:val="both"/>
        <w:rPr>
          <w:rFonts w:ascii="Arial Narrow" w:hAnsi="Arial Narrow"/>
        </w:rPr>
      </w:pPr>
      <w:r>
        <w:rPr>
          <w:rFonts w:ascii="Arial Narrow" w:hAnsi="Arial Narrow"/>
        </w:rPr>
        <w:t xml:space="preserve">Contar con inscripción vigente en el ROPYCE del que se deberán desprender los siguientes datos: </w:t>
      </w:r>
    </w:p>
    <w:p w14:paraId="72984236" w14:textId="77777777" w:rsidR="002609B2" w:rsidRDefault="002609B2" w:rsidP="002609B2">
      <w:pPr>
        <w:widowControl w:val="0"/>
        <w:pBdr>
          <w:top w:val="nil"/>
          <w:left w:val="nil"/>
          <w:bottom w:val="nil"/>
          <w:right w:val="nil"/>
          <w:between w:val="nil"/>
        </w:pBdr>
        <w:ind w:firstLine="284"/>
        <w:jc w:val="both"/>
        <w:rPr>
          <w:rFonts w:ascii="Arial Narrow" w:hAnsi="Arial Narrow"/>
        </w:rPr>
      </w:pPr>
      <w:r w:rsidRPr="007D2C9F">
        <w:rPr>
          <w:rFonts w:ascii="Arial Narrow" w:hAnsi="Arial Narrow"/>
        </w:rPr>
        <w:t xml:space="preserve">Ratios: </w:t>
      </w:r>
    </w:p>
    <w:p w14:paraId="5630FB91" w14:textId="77777777" w:rsidR="002609B2" w:rsidRDefault="002609B2" w:rsidP="002609B2">
      <w:pPr>
        <w:widowControl w:val="0"/>
        <w:pBdr>
          <w:top w:val="nil"/>
          <w:left w:val="nil"/>
          <w:bottom w:val="nil"/>
          <w:right w:val="nil"/>
          <w:between w:val="nil"/>
        </w:pBdr>
        <w:ind w:firstLine="284"/>
        <w:jc w:val="both"/>
        <w:rPr>
          <w:rFonts w:ascii="Arial Narrow" w:hAnsi="Arial Narrow"/>
        </w:rPr>
      </w:pPr>
      <w:r w:rsidRPr="007D2C9F">
        <w:rPr>
          <w:rFonts w:ascii="Arial Narrow" w:hAnsi="Arial Narrow"/>
        </w:rPr>
        <w:t>Liquidez</w:t>
      </w:r>
      <w:r>
        <w:rPr>
          <w:rFonts w:ascii="Arial Narrow" w:hAnsi="Arial Narrow"/>
        </w:rPr>
        <w:t xml:space="preserve"> </w:t>
      </w:r>
      <w:r w:rsidRPr="007D2C9F">
        <w:rPr>
          <w:rFonts w:ascii="Arial Narrow" w:hAnsi="Arial Narrow"/>
        </w:rPr>
        <w:t>&gt;= 1,30</w:t>
      </w:r>
    </w:p>
    <w:p w14:paraId="302FBD86" w14:textId="77777777" w:rsidR="002609B2" w:rsidRDefault="002609B2" w:rsidP="002609B2">
      <w:pPr>
        <w:widowControl w:val="0"/>
        <w:pBdr>
          <w:top w:val="nil"/>
          <w:left w:val="nil"/>
          <w:bottom w:val="nil"/>
          <w:right w:val="nil"/>
          <w:between w:val="nil"/>
        </w:pBdr>
        <w:ind w:firstLine="284"/>
        <w:jc w:val="both"/>
        <w:rPr>
          <w:rFonts w:ascii="Arial Narrow" w:hAnsi="Arial Narrow"/>
        </w:rPr>
      </w:pPr>
      <w:r w:rsidRPr="007D2C9F">
        <w:rPr>
          <w:rFonts w:ascii="Arial Narrow" w:hAnsi="Arial Narrow"/>
        </w:rPr>
        <w:t xml:space="preserve">Solvencia &gt;= 1,50 </w:t>
      </w:r>
    </w:p>
    <w:p w14:paraId="32867AF9" w14:textId="77777777" w:rsidR="002609B2" w:rsidRDefault="002609B2" w:rsidP="002609B2">
      <w:pPr>
        <w:widowControl w:val="0"/>
        <w:pBdr>
          <w:top w:val="nil"/>
          <w:left w:val="nil"/>
          <w:bottom w:val="nil"/>
          <w:right w:val="nil"/>
          <w:between w:val="nil"/>
        </w:pBdr>
        <w:ind w:firstLine="284"/>
        <w:jc w:val="both"/>
        <w:rPr>
          <w:rFonts w:ascii="Arial Narrow" w:hAnsi="Arial Narrow"/>
        </w:rPr>
      </w:pPr>
      <w:r w:rsidRPr="007D2C9F">
        <w:rPr>
          <w:rFonts w:ascii="Arial Narrow" w:hAnsi="Arial Narrow"/>
        </w:rPr>
        <w:t>Prueba acida &gt;= 0,75</w:t>
      </w:r>
    </w:p>
    <w:p w14:paraId="6C286C42" w14:textId="77777777" w:rsidR="002609B2" w:rsidRDefault="002609B2" w:rsidP="002609B2">
      <w:pPr>
        <w:widowControl w:val="0"/>
        <w:pBdr>
          <w:top w:val="nil"/>
          <w:left w:val="nil"/>
          <w:bottom w:val="nil"/>
          <w:right w:val="nil"/>
          <w:between w:val="nil"/>
        </w:pBdr>
        <w:ind w:firstLine="284"/>
        <w:jc w:val="both"/>
        <w:rPr>
          <w:rFonts w:ascii="Arial Narrow" w:hAnsi="Arial Narrow"/>
        </w:rPr>
      </w:pPr>
      <w:r>
        <w:rPr>
          <w:rFonts w:ascii="Arial Narrow" w:hAnsi="Arial Narrow"/>
        </w:rPr>
        <w:t>E</w:t>
      </w:r>
      <w:r w:rsidRPr="007D2C9F">
        <w:rPr>
          <w:rFonts w:ascii="Arial Narrow" w:hAnsi="Arial Narrow"/>
        </w:rPr>
        <w:t xml:space="preserve">ndeudamiento </w:t>
      </w:r>
      <w:r>
        <w:rPr>
          <w:rFonts w:ascii="Arial Narrow" w:hAnsi="Arial Narrow"/>
        </w:rPr>
        <w:t>&lt;</w:t>
      </w:r>
      <w:r w:rsidRPr="007D2C9F">
        <w:rPr>
          <w:rFonts w:ascii="Arial Narrow" w:hAnsi="Arial Narrow"/>
        </w:rPr>
        <w:t>= 2,00</w:t>
      </w:r>
      <w:r>
        <w:rPr>
          <w:rFonts w:ascii="Arial Narrow" w:hAnsi="Arial Narrow"/>
        </w:rPr>
        <w:t xml:space="preserve"> </w:t>
      </w:r>
    </w:p>
    <w:p w14:paraId="65CE1CF4" w14:textId="77777777" w:rsidR="002609B2" w:rsidRPr="00585391" w:rsidRDefault="002609B2" w:rsidP="002609B2">
      <w:pPr>
        <w:widowControl w:val="0"/>
        <w:pBdr>
          <w:top w:val="nil"/>
          <w:left w:val="nil"/>
          <w:bottom w:val="nil"/>
          <w:right w:val="nil"/>
          <w:between w:val="nil"/>
        </w:pBdr>
        <w:ind w:firstLine="284"/>
        <w:jc w:val="both"/>
        <w:rPr>
          <w:rFonts w:ascii="Arial Narrow" w:hAnsi="Arial Narrow"/>
        </w:rPr>
      </w:pPr>
      <w:r>
        <w:rPr>
          <w:rFonts w:ascii="Arial Narrow" w:hAnsi="Arial Narrow"/>
        </w:rPr>
        <w:t>C</w:t>
      </w:r>
      <w:r w:rsidRPr="007D2C9F">
        <w:rPr>
          <w:rFonts w:ascii="Arial Narrow" w:hAnsi="Arial Narrow"/>
        </w:rPr>
        <w:t xml:space="preserve">apacidad económica financiera de </w:t>
      </w:r>
      <w:r>
        <w:rPr>
          <w:rFonts w:ascii="Arial Narrow" w:hAnsi="Arial Narrow"/>
        </w:rPr>
        <w:t>al menos $120</w:t>
      </w:r>
      <w:r w:rsidRPr="007D2C9F">
        <w:rPr>
          <w:rFonts w:ascii="Arial Narrow" w:hAnsi="Arial Narrow"/>
        </w:rPr>
        <w:t>.000.000</w:t>
      </w:r>
      <w:r>
        <w:rPr>
          <w:rFonts w:ascii="Arial Narrow" w:hAnsi="Arial Narrow"/>
        </w:rPr>
        <w:t xml:space="preserve">. </w:t>
      </w:r>
    </w:p>
    <w:p w14:paraId="2F39BBF2" w14:textId="77777777" w:rsidR="002609B2" w:rsidRDefault="002609B2" w:rsidP="002609B2">
      <w:pPr>
        <w:widowControl w:val="0"/>
        <w:numPr>
          <w:ilvl w:val="0"/>
          <w:numId w:val="4"/>
        </w:numPr>
        <w:pBdr>
          <w:top w:val="nil"/>
          <w:left w:val="nil"/>
          <w:bottom w:val="nil"/>
          <w:right w:val="nil"/>
          <w:between w:val="nil"/>
        </w:pBdr>
        <w:spacing w:after="0" w:line="240" w:lineRule="auto"/>
        <w:ind w:left="284" w:hanging="284"/>
        <w:jc w:val="both"/>
        <w:rPr>
          <w:rFonts w:ascii="Arial Narrow" w:hAnsi="Arial Narrow"/>
        </w:rPr>
      </w:pPr>
      <w:r w:rsidRPr="007D2C9F">
        <w:rPr>
          <w:rFonts w:ascii="Arial Narrow" w:hAnsi="Arial Narrow"/>
        </w:rPr>
        <w:t>Acreditar antecedente</w:t>
      </w:r>
      <w:r>
        <w:rPr>
          <w:rFonts w:ascii="Arial Narrow" w:hAnsi="Arial Narrow"/>
        </w:rPr>
        <w:t>s, en los últimos DOS (2) años, de más de 10</w:t>
      </w:r>
      <w:r w:rsidRPr="007D2C9F">
        <w:rPr>
          <w:rFonts w:ascii="Arial Narrow" w:hAnsi="Arial Narrow"/>
        </w:rPr>
        <w:t xml:space="preserve">0.000m2 de aplicación de pintura con </w:t>
      </w:r>
      <w:r w:rsidRPr="007D2C9F">
        <w:rPr>
          <w:rFonts w:ascii="Arial Narrow" w:hAnsi="Arial Narrow"/>
        </w:rPr>
        <w:lastRenderedPageBreak/>
        <w:t xml:space="preserve">sistema </w:t>
      </w:r>
      <w:proofErr w:type="spellStart"/>
      <w:r w:rsidRPr="007D2C9F">
        <w:rPr>
          <w:rFonts w:ascii="Arial Narrow" w:hAnsi="Arial Narrow"/>
        </w:rPr>
        <w:t>airless</w:t>
      </w:r>
      <w:proofErr w:type="spellEnd"/>
      <w:r w:rsidRPr="007D2C9F">
        <w:rPr>
          <w:rFonts w:ascii="Arial Narrow" w:hAnsi="Arial Narrow"/>
        </w:rPr>
        <w:t xml:space="preserve"> y d</w:t>
      </w:r>
      <w:r>
        <w:rPr>
          <w:rFonts w:ascii="Arial Narrow" w:hAnsi="Arial Narrow"/>
        </w:rPr>
        <w:t xml:space="preserve">e </w:t>
      </w:r>
      <w:proofErr w:type="spellStart"/>
      <w:r>
        <w:rPr>
          <w:rFonts w:ascii="Arial Narrow" w:hAnsi="Arial Narrow"/>
        </w:rPr>
        <w:t>hidrolavado</w:t>
      </w:r>
      <w:proofErr w:type="spellEnd"/>
      <w:r>
        <w:rPr>
          <w:rFonts w:ascii="Arial Narrow" w:hAnsi="Arial Narrow"/>
        </w:rPr>
        <w:t xml:space="preserve"> en altura hasta 10</w:t>
      </w:r>
      <w:r w:rsidRPr="007D2C9F">
        <w:rPr>
          <w:rFonts w:ascii="Arial Narrow" w:hAnsi="Arial Narrow"/>
        </w:rPr>
        <w:t xml:space="preserve"> metros. Estos deberán ser respaldados por nota que acredite la conformidad del trabajo realizado por parte del requirente, </w:t>
      </w:r>
      <w:r>
        <w:rPr>
          <w:rFonts w:ascii="Arial Narrow" w:hAnsi="Arial Narrow"/>
        </w:rPr>
        <w:t>y un listado en el cual deberán figurar cantidad de metros realizados, lugar, nombre y teléfono del contratista a los fines de su verificación.</w:t>
      </w:r>
    </w:p>
    <w:p w14:paraId="54EBFDB1" w14:textId="77777777" w:rsidR="002609B2" w:rsidRPr="007D2C9F" w:rsidRDefault="002609B2" w:rsidP="002609B2">
      <w:pPr>
        <w:widowControl w:val="0"/>
        <w:numPr>
          <w:ilvl w:val="0"/>
          <w:numId w:val="4"/>
        </w:numPr>
        <w:pBdr>
          <w:top w:val="nil"/>
          <w:left w:val="nil"/>
          <w:bottom w:val="nil"/>
          <w:right w:val="nil"/>
          <w:between w:val="nil"/>
        </w:pBdr>
        <w:spacing w:after="0" w:line="240" w:lineRule="auto"/>
        <w:ind w:left="284" w:hanging="284"/>
        <w:jc w:val="both"/>
        <w:rPr>
          <w:rFonts w:ascii="Arial Narrow" w:hAnsi="Arial Narrow"/>
        </w:rPr>
      </w:pPr>
      <w:r w:rsidRPr="007D2C9F">
        <w:rPr>
          <w:rFonts w:ascii="Arial Narrow" w:hAnsi="Arial Narrow"/>
        </w:rPr>
        <w:t xml:space="preserve">Acreditar, mediante título de propiedad, la </w:t>
      </w:r>
      <w:r>
        <w:rPr>
          <w:rFonts w:ascii="Arial Narrow" w:hAnsi="Arial Narrow"/>
        </w:rPr>
        <w:t>disposición</w:t>
      </w:r>
      <w:r w:rsidRPr="007D2C9F">
        <w:rPr>
          <w:rFonts w:ascii="Arial Narrow" w:hAnsi="Arial Narrow"/>
        </w:rPr>
        <w:t xml:space="preserve"> de una grúa para </w:t>
      </w:r>
      <w:proofErr w:type="spellStart"/>
      <w:r w:rsidRPr="007D2C9F">
        <w:rPr>
          <w:rFonts w:ascii="Arial Narrow" w:hAnsi="Arial Narrow"/>
        </w:rPr>
        <w:t>hidrolavado</w:t>
      </w:r>
      <w:proofErr w:type="spellEnd"/>
      <w:r w:rsidRPr="007D2C9F">
        <w:rPr>
          <w:rFonts w:ascii="Arial Narrow" w:hAnsi="Arial Narrow"/>
        </w:rPr>
        <w:t xml:space="preserve"> con una alt</w:t>
      </w:r>
      <w:r>
        <w:rPr>
          <w:rFonts w:ascii="Arial Narrow" w:hAnsi="Arial Narrow"/>
        </w:rPr>
        <w:t xml:space="preserve">ura de 10 </w:t>
      </w:r>
      <w:r w:rsidRPr="007D2C9F">
        <w:rPr>
          <w:rFonts w:ascii="Arial Narrow" w:hAnsi="Arial Narrow"/>
        </w:rPr>
        <w:t>metros.</w:t>
      </w:r>
    </w:p>
    <w:p w14:paraId="7C7053C7" w14:textId="77777777" w:rsidR="002609B2" w:rsidRDefault="002609B2" w:rsidP="002609B2">
      <w:pPr>
        <w:widowControl w:val="0"/>
        <w:numPr>
          <w:ilvl w:val="0"/>
          <w:numId w:val="4"/>
        </w:numPr>
        <w:pBdr>
          <w:top w:val="nil"/>
          <w:left w:val="nil"/>
          <w:bottom w:val="nil"/>
          <w:right w:val="nil"/>
          <w:between w:val="nil"/>
        </w:pBdr>
        <w:spacing w:after="0" w:line="240" w:lineRule="auto"/>
        <w:ind w:left="284" w:hanging="284"/>
        <w:jc w:val="both"/>
        <w:rPr>
          <w:rFonts w:ascii="Arial Narrow" w:hAnsi="Arial Narrow"/>
        </w:rPr>
      </w:pPr>
      <w:r w:rsidRPr="008E5325">
        <w:rPr>
          <w:rFonts w:ascii="Arial Narrow" w:hAnsi="Arial Narrow"/>
        </w:rPr>
        <w:t>Documentación del usuario registrado en el Portal de Subasta, que demuestre el vínculo con la empresa (poder, acta de directorio, estatuto o autorización del representante legal</w:t>
      </w:r>
      <w:proofErr w:type="gramStart"/>
      <w:r w:rsidRPr="008E5325">
        <w:rPr>
          <w:rFonts w:ascii="Arial Narrow" w:hAnsi="Arial Narrow"/>
        </w:rPr>
        <w:t>).-</w:t>
      </w:r>
      <w:proofErr w:type="gramEnd"/>
    </w:p>
    <w:p w14:paraId="7C4AE962" w14:textId="77777777" w:rsidR="002609B2" w:rsidRDefault="002609B2" w:rsidP="002609B2">
      <w:pPr>
        <w:widowControl w:val="0"/>
        <w:numPr>
          <w:ilvl w:val="0"/>
          <w:numId w:val="4"/>
        </w:numPr>
        <w:pBdr>
          <w:top w:val="nil"/>
          <w:left w:val="nil"/>
          <w:bottom w:val="nil"/>
          <w:right w:val="nil"/>
          <w:between w:val="nil"/>
        </w:pBdr>
        <w:spacing w:after="0" w:line="240" w:lineRule="auto"/>
        <w:ind w:left="284" w:hanging="284"/>
        <w:jc w:val="both"/>
        <w:rPr>
          <w:rFonts w:ascii="Arial Narrow" w:hAnsi="Arial Narrow"/>
        </w:rPr>
      </w:pPr>
      <w:r>
        <w:rPr>
          <w:rFonts w:ascii="Arial Narrow" w:hAnsi="Arial Narrow"/>
        </w:rPr>
        <w:t xml:space="preserve">Garantía de propuesta equivalente al UNO POR CIENTO (1%) del Presupuesto </w:t>
      </w:r>
      <w:proofErr w:type="gramStart"/>
      <w:r>
        <w:rPr>
          <w:rFonts w:ascii="Arial Narrow" w:hAnsi="Arial Narrow"/>
        </w:rPr>
        <w:t>Oficial.-</w:t>
      </w:r>
      <w:proofErr w:type="gramEnd"/>
    </w:p>
    <w:p w14:paraId="60E84A9D" w14:textId="77777777" w:rsidR="002609B2" w:rsidRPr="002609B2" w:rsidRDefault="002609B2" w:rsidP="002609B2">
      <w:pPr>
        <w:widowControl w:val="0"/>
        <w:numPr>
          <w:ilvl w:val="0"/>
          <w:numId w:val="4"/>
        </w:numPr>
        <w:pBdr>
          <w:top w:val="nil"/>
          <w:left w:val="nil"/>
          <w:bottom w:val="nil"/>
          <w:right w:val="nil"/>
          <w:between w:val="nil"/>
        </w:pBdr>
        <w:autoSpaceDE w:val="0"/>
        <w:autoSpaceDN w:val="0"/>
        <w:adjustRightInd w:val="0"/>
        <w:spacing w:after="0" w:line="240" w:lineRule="auto"/>
        <w:ind w:left="284" w:right="-2" w:hanging="284"/>
        <w:jc w:val="both"/>
        <w:rPr>
          <w:rFonts w:ascii="Arial Narrow" w:hAnsi="Arial Narrow"/>
        </w:rPr>
      </w:pPr>
      <w:r w:rsidRPr="000960E1">
        <w:rPr>
          <w:rFonts w:ascii="Arial Narrow" w:hAnsi="Arial Narrow" w:cs="Arial Narrow"/>
          <w:color w:val="000000"/>
        </w:rPr>
        <w:t xml:space="preserve">Folletos descriptivos, catálogos, etc., </w:t>
      </w:r>
      <w:r w:rsidRPr="000960E1">
        <w:rPr>
          <w:rFonts w:ascii="Arial Narrow" w:hAnsi="Arial Narrow" w:cs="Arial Narrow"/>
        </w:rPr>
        <w:t xml:space="preserve">y toda otra identificación que permita individualizar de manera clara e inequívoca cada uno de los productos ofrecidos y/o </w:t>
      </w:r>
      <w:r w:rsidRPr="000960E1">
        <w:rPr>
          <w:rFonts w:ascii="Arial Narrow" w:hAnsi="Arial Narrow" w:cs="Arial Narrow"/>
          <w:color w:val="000000"/>
        </w:rPr>
        <w:t xml:space="preserve">indicar las características que permitan identificarlo, tales como nombre comercial, marca, modelo, etc. </w:t>
      </w:r>
      <w:r w:rsidRPr="000960E1">
        <w:rPr>
          <w:rFonts w:ascii="Arial Narrow" w:hAnsi="Arial Narrow" w:cs="Arial Narrow"/>
        </w:rPr>
        <w:t xml:space="preserve">Dicha documentación </w:t>
      </w:r>
      <w:r w:rsidRPr="000960E1">
        <w:rPr>
          <w:rFonts w:ascii="Arial Narrow" w:hAnsi="Arial Narrow" w:cs="Arial Narrow"/>
          <w:color w:val="000000"/>
        </w:rPr>
        <w:t xml:space="preserve">será considerada parte integrante de la propuesta y obligará al Proponente por lo que en ella especifique, siempre que no contradiga lo que en la propuesta se establezca. Los elementos ofrecidos que no cuenten con esas especificaciones incurrirán en causal de rechazo por resultar indeterminada la oferta. </w:t>
      </w:r>
      <w:r>
        <w:rPr>
          <w:rFonts w:ascii="Arial Narrow" w:hAnsi="Arial Narrow" w:cs="Arial Narrow"/>
          <w:color w:val="000000"/>
        </w:rPr>
        <w:t>–</w:t>
      </w:r>
      <w:r w:rsidRPr="000960E1">
        <w:rPr>
          <w:rFonts w:ascii="Arial Narrow" w:hAnsi="Arial Narrow"/>
          <w:b/>
          <w:noProof/>
          <w:color w:val="000000"/>
          <w:lang w:eastAsia="es-AR"/>
        </w:rPr>
        <w:t xml:space="preserve"> </w:t>
      </w:r>
    </w:p>
    <w:p w14:paraId="4A83462C" w14:textId="5264D6A7" w:rsidR="002609B2" w:rsidRPr="002609B2" w:rsidRDefault="0063760F" w:rsidP="002609B2">
      <w:pPr>
        <w:widowControl w:val="0"/>
        <w:numPr>
          <w:ilvl w:val="0"/>
          <w:numId w:val="4"/>
        </w:numPr>
        <w:pBdr>
          <w:top w:val="nil"/>
          <w:left w:val="nil"/>
          <w:bottom w:val="nil"/>
          <w:right w:val="nil"/>
          <w:between w:val="nil"/>
        </w:pBdr>
        <w:autoSpaceDE w:val="0"/>
        <w:autoSpaceDN w:val="0"/>
        <w:adjustRightInd w:val="0"/>
        <w:spacing w:after="0" w:line="240" w:lineRule="auto"/>
        <w:ind w:left="284" w:right="-2" w:hanging="284"/>
        <w:jc w:val="both"/>
        <w:rPr>
          <w:rFonts w:ascii="Arial Narrow" w:hAnsi="Arial Narrow"/>
        </w:rPr>
      </w:pPr>
      <w:r>
        <w:rPr>
          <w:rFonts w:ascii="Arial Narrow" w:hAnsi="Arial Narrow"/>
          <w:noProof/>
          <w:color w:val="000000"/>
          <w:lang w:eastAsia="es-AR"/>
        </w:rPr>
        <w:t xml:space="preserve">Constancia de </w:t>
      </w:r>
      <w:r w:rsidRPr="002609B2">
        <w:rPr>
          <w:rFonts w:ascii="Arial Narrow" w:hAnsi="Arial Narrow"/>
          <w:noProof/>
          <w:color w:val="000000"/>
          <w:lang w:eastAsia="es-AR"/>
        </w:rPr>
        <w:t>CEQUIMAP</w:t>
      </w:r>
      <w:r>
        <w:rPr>
          <w:rFonts w:ascii="Arial Narrow" w:hAnsi="Arial Narrow"/>
          <w:noProof/>
          <w:color w:val="000000"/>
          <w:lang w:eastAsia="es-AR"/>
        </w:rPr>
        <w:t xml:space="preserve"> de l</w:t>
      </w:r>
      <w:r w:rsidR="002609B2" w:rsidRPr="002609B2">
        <w:rPr>
          <w:rFonts w:ascii="Arial Narrow" w:hAnsi="Arial Narrow"/>
          <w:noProof/>
          <w:color w:val="000000"/>
          <w:lang w:eastAsia="es-AR"/>
        </w:rPr>
        <w:t>as pinturas que serán provistas</w:t>
      </w:r>
      <w:r>
        <w:rPr>
          <w:rFonts w:ascii="Arial Narrow" w:hAnsi="Arial Narrow"/>
          <w:noProof/>
          <w:color w:val="000000"/>
          <w:lang w:eastAsia="es-AR"/>
        </w:rPr>
        <w:t>.</w:t>
      </w:r>
    </w:p>
    <w:p w14:paraId="2927D75C" w14:textId="2F61C5A0" w:rsidR="00C35A11" w:rsidRPr="002609B2" w:rsidRDefault="0063760F" w:rsidP="002609B2">
      <w:pPr>
        <w:widowControl w:val="0"/>
        <w:numPr>
          <w:ilvl w:val="0"/>
          <w:numId w:val="4"/>
        </w:numPr>
        <w:pBdr>
          <w:top w:val="nil"/>
          <w:left w:val="nil"/>
          <w:bottom w:val="nil"/>
          <w:right w:val="nil"/>
          <w:between w:val="nil"/>
        </w:pBdr>
        <w:autoSpaceDE w:val="0"/>
        <w:autoSpaceDN w:val="0"/>
        <w:adjustRightInd w:val="0"/>
        <w:spacing w:after="0" w:line="240" w:lineRule="auto"/>
        <w:ind w:left="284" w:right="-2" w:hanging="284"/>
        <w:jc w:val="both"/>
        <w:rPr>
          <w:rFonts w:ascii="Arial Narrow" w:hAnsi="Arial Narrow"/>
          <w:sz w:val="28"/>
          <w:szCs w:val="28"/>
        </w:rPr>
      </w:pPr>
      <w:r>
        <w:rPr>
          <w:rFonts w:ascii="Arial Narrow" w:hAnsi="Arial Narrow"/>
          <w:noProof/>
          <w:color w:val="000000"/>
          <w:lang w:eastAsia="es-AR"/>
        </w:rPr>
        <w:t>Constancia de</w:t>
      </w:r>
      <w:r w:rsidRPr="002609B2">
        <w:rPr>
          <w:rFonts w:ascii="Arial Narrow" w:hAnsi="Arial Narrow"/>
          <w:noProof/>
          <w:color w:val="000000"/>
          <w:lang w:eastAsia="es-AR"/>
        </w:rPr>
        <w:t xml:space="preserve"> </w:t>
      </w:r>
      <w:r w:rsidR="002609B2" w:rsidRPr="002609B2">
        <w:rPr>
          <w:rFonts w:ascii="Arial Narrow" w:hAnsi="Arial Narrow"/>
          <w:noProof/>
          <w:color w:val="000000"/>
          <w:lang w:eastAsia="es-AR"/>
        </w:rPr>
        <w:t>presenta</w:t>
      </w:r>
      <w:r>
        <w:rPr>
          <w:rFonts w:ascii="Arial Narrow" w:hAnsi="Arial Narrow"/>
          <w:noProof/>
          <w:color w:val="000000"/>
          <w:lang w:eastAsia="es-AR"/>
        </w:rPr>
        <w:t>ción de</w:t>
      </w:r>
      <w:r w:rsidR="002609B2" w:rsidRPr="002609B2">
        <w:rPr>
          <w:rFonts w:ascii="Arial Narrow" w:hAnsi="Arial Narrow"/>
          <w:noProof/>
          <w:color w:val="000000"/>
          <w:lang w:eastAsia="es-AR"/>
        </w:rPr>
        <w:t xml:space="preserve"> muestra representativa de cada una de las pinturas que serán provistas en la presente contratación. A tal fin los interesados deberán coordinar con la Dirección General de Administración y Desarrollo Cultural Creativo la presentación de dichas muestras y la emisión de la corresondiente constancia.</w:t>
      </w:r>
      <w:r w:rsidR="00C35A11" w:rsidRPr="002609B2">
        <w:rPr>
          <w:rFonts w:ascii="Arial Narrow" w:hAnsi="Arial Narrow"/>
          <w:sz w:val="28"/>
          <w:szCs w:val="28"/>
        </w:rPr>
        <w:t>”</w:t>
      </w:r>
    </w:p>
    <w:p w14:paraId="787DA1EF" w14:textId="77777777" w:rsidR="00B812C9" w:rsidRDefault="00B812C9" w:rsidP="00C43653">
      <w:pPr>
        <w:ind w:firstLine="708"/>
        <w:jc w:val="both"/>
        <w:rPr>
          <w:sz w:val="28"/>
          <w:szCs w:val="28"/>
        </w:rPr>
      </w:pPr>
    </w:p>
    <w:p w14:paraId="06BA52E7" w14:textId="77777777" w:rsidR="002609B2" w:rsidRPr="002609B2" w:rsidRDefault="002609B2" w:rsidP="002609B2">
      <w:pPr>
        <w:widowControl w:val="0"/>
        <w:tabs>
          <w:tab w:val="left" w:pos="5783"/>
        </w:tabs>
        <w:ind w:firstLine="851"/>
        <w:jc w:val="both"/>
        <w:rPr>
          <w:rFonts w:ascii="Arial Narrow" w:hAnsi="Arial Narrow" w:cs="Arial"/>
          <w:sz w:val="28"/>
          <w:szCs w:val="28"/>
        </w:rPr>
      </w:pPr>
      <w:r w:rsidRPr="002609B2">
        <w:rPr>
          <w:rFonts w:ascii="Arial Narrow" w:hAnsi="Arial Narrow" w:cs="Arial"/>
          <w:sz w:val="28"/>
          <w:szCs w:val="28"/>
        </w:rPr>
        <w:t xml:space="preserve">A través de la presente se informa que el Periodo de Lances de la Subasta de referencia, previsto para el </w:t>
      </w:r>
      <w:r w:rsidR="002814E1">
        <w:rPr>
          <w:rFonts w:ascii="Arial Narrow" w:hAnsi="Arial Narrow" w:cs="Arial"/>
          <w:sz w:val="28"/>
          <w:szCs w:val="28"/>
        </w:rPr>
        <w:t>día 31</w:t>
      </w:r>
      <w:r w:rsidRPr="002609B2">
        <w:rPr>
          <w:rFonts w:ascii="Arial Narrow" w:hAnsi="Arial Narrow" w:cs="Arial"/>
          <w:sz w:val="28"/>
          <w:szCs w:val="28"/>
        </w:rPr>
        <w:t>/05/2022, de 1</w:t>
      </w:r>
      <w:r w:rsidR="002814E1">
        <w:rPr>
          <w:rFonts w:ascii="Arial Narrow" w:hAnsi="Arial Narrow" w:cs="Arial"/>
          <w:sz w:val="28"/>
          <w:szCs w:val="28"/>
        </w:rPr>
        <w:t>0</w:t>
      </w:r>
      <w:r w:rsidRPr="002609B2">
        <w:rPr>
          <w:rFonts w:ascii="Arial Narrow" w:hAnsi="Arial Narrow" w:cs="Arial"/>
          <w:sz w:val="28"/>
          <w:szCs w:val="28"/>
        </w:rPr>
        <w:t xml:space="preserve"> a 1</w:t>
      </w:r>
      <w:r w:rsidR="002814E1">
        <w:rPr>
          <w:rFonts w:ascii="Arial Narrow" w:hAnsi="Arial Narrow" w:cs="Arial"/>
          <w:sz w:val="28"/>
          <w:szCs w:val="28"/>
        </w:rPr>
        <w:t>2</w:t>
      </w:r>
      <w:r w:rsidRPr="002609B2">
        <w:rPr>
          <w:rFonts w:ascii="Arial Narrow" w:hAnsi="Arial Narrow" w:cs="Arial"/>
          <w:sz w:val="28"/>
          <w:szCs w:val="28"/>
        </w:rPr>
        <w:t xml:space="preserve"> horas, ha sido pospuesto para el día </w:t>
      </w:r>
      <w:r w:rsidR="002814E1" w:rsidRPr="002814E1">
        <w:rPr>
          <w:rFonts w:ascii="Arial Narrow" w:hAnsi="Arial Narrow" w:cs="Arial"/>
          <w:b/>
          <w:sz w:val="28"/>
          <w:szCs w:val="28"/>
        </w:rPr>
        <w:t>01</w:t>
      </w:r>
      <w:r w:rsidRPr="002814E1">
        <w:rPr>
          <w:rFonts w:ascii="Arial Narrow" w:hAnsi="Arial Narrow" w:cs="Arial"/>
          <w:b/>
          <w:sz w:val="28"/>
          <w:szCs w:val="28"/>
        </w:rPr>
        <w:t>/</w:t>
      </w:r>
      <w:r w:rsidRPr="002609B2">
        <w:rPr>
          <w:rFonts w:ascii="Arial Narrow" w:hAnsi="Arial Narrow" w:cs="Arial"/>
          <w:b/>
          <w:sz w:val="28"/>
          <w:szCs w:val="28"/>
        </w:rPr>
        <w:t>0</w:t>
      </w:r>
      <w:r w:rsidR="002814E1">
        <w:rPr>
          <w:rFonts w:ascii="Arial Narrow" w:hAnsi="Arial Narrow" w:cs="Arial"/>
          <w:b/>
          <w:sz w:val="28"/>
          <w:szCs w:val="28"/>
        </w:rPr>
        <w:t>6</w:t>
      </w:r>
      <w:r w:rsidRPr="002609B2">
        <w:rPr>
          <w:rFonts w:ascii="Arial Narrow" w:hAnsi="Arial Narrow" w:cs="Arial"/>
          <w:b/>
          <w:sz w:val="28"/>
          <w:szCs w:val="28"/>
        </w:rPr>
        <w:t>/2022, de 1</w:t>
      </w:r>
      <w:r w:rsidR="002814E1">
        <w:rPr>
          <w:rFonts w:ascii="Arial Narrow" w:hAnsi="Arial Narrow" w:cs="Arial"/>
          <w:b/>
          <w:sz w:val="28"/>
          <w:szCs w:val="28"/>
        </w:rPr>
        <w:t>0</w:t>
      </w:r>
      <w:r w:rsidRPr="002609B2">
        <w:rPr>
          <w:rFonts w:ascii="Arial Narrow" w:hAnsi="Arial Narrow" w:cs="Arial"/>
          <w:b/>
          <w:sz w:val="28"/>
          <w:szCs w:val="28"/>
        </w:rPr>
        <w:t>:00 a 1</w:t>
      </w:r>
      <w:r w:rsidR="002814E1">
        <w:rPr>
          <w:rFonts w:ascii="Arial Narrow" w:hAnsi="Arial Narrow" w:cs="Arial"/>
          <w:b/>
          <w:sz w:val="28"/>
          <w:szCs w:val="28"/>
        </w:rPr>
        <w:t>2</w:t>
      </w:r>
      <w:r w:rsidRPr="002609B2">
        <w:rPr>
          <w:rFonts w:ascii="Arial Narrow" w:hAnsi="Arial Narrow" w:cs="Arial"/>
          <w:b/>
          <w:sz w:val="28"/>
          <w:szCs w:val="28"/>
        </w:rPr>
        <w:t>:00 horas</w:t>
      </w:r>
      <w:r w:rsidRPr="002609B2">
        <w:rPr>
          <w:rFonts w:ascii="Arial Narrow" w:hAnsi="Arial Narrow" w:cs="Arial"/>
          <w:sz w:val="28"/>
          <w:szCs w:val="28"/>
        </w:rPr>
        <w:t>. -</w:t>
      </w:r>
    </w:p>
    <w:p w14:paraId="350B0BCF" w14:textId="77777777" w:rsidR="002814E1" w:rsidRPr="002814E1" w:rsidRDefault="002814E1" w:rsidP="00C43653">
      <w:pPr>
        <w:jc w:val="both"/>
        <w:rPr>
          <w:rFonts w:ascii="Arial Narrow" w:hAnsi="Arial Narrow"/>
          <w:sz w:val="28"/>
          <w:szCs w:val="28"/>
        </w:rPr>
      </w:pPr>
      <w:r>
        <w:tab/>
      </w:r>
      <w:r w:rsidRPr="002814E1">
        <w:rPr>
          <w:rFonts w:ascii="Arial Narrow" w:hAnsi="Arial Narrow"/>
          <w:sz w:val="28"/>
          <w:szCs w:val="28"/>
        </w:rPr>
        <w:t xml:space="preserve">Los días para presentar la documentación para vinculación serán el 27 y el 30 de mayo en el horario de 9 a 12 </w:t>
      </w:r>
      <w:proofErr w:type="spellStart"/>
      <w:r w:rsidRPr="002814E1">
        <w:rPr>
          <w:rFonts w:ascii="Arial Narrow" w:hAnsi="Arial Narrow"/>
          <w:sz w:val="28"/>
          <w:szCs w:val="28"/>
        </w:rPr>
        <w:t>hs</w:t>
      </w:r>
      <w:proofErr w:type="spellEnd"/>
      <w:r w:rsidRPr="002814E1">
        <w:rPr>
          <w:rFonts w:ascii="Arial Narrow" w:hAnsi="Arial Narrow"/>
          <w:sz w:val="28"/>
          <w:szCs w:val="28"/>
        </w:rPr>
        <w:t>.</w:t>
      </w:r>
    </w:p>
    <w:p w14:paraId="03D0DE44" w14:textId="77777777" w:rsidR="002814E1" w:rsidRPr="002814E1" w:rsidRDefault="002814E1" w:rsidP="00C43653">
      <w:pPr>
        <w:jc w:val="both"/>
        <w:rPr>
          <w:rFonts w:ascii="Arial Narrow" w:hAnsi="Arial Narrow"/>
          <w:sz w:val="28"/>
          <w:szCs w:val="28"/>
        </w:rPr>
      </w:pPr>
    </w:p>
    <w:p w14:paraId="7EEB96EA" w14:textId="77777777" w:rsidR="002814E1" w:rsidRPr="002814E1" w:rsidRDefault="002814E1" w:rsidP="002814E1">
      <w:pPr>
        <w:widowControl w:val="0"/>
        <w:tabs>
          <w:tab w:val="left" w:pos="5783"/>
        </w:tabs>
        <w:ind w:firstLine="1416"/>
        <w:jc w:val="both"/>
        <w:rPr>
          <w:rFonts w:ascii="Arial Narrow" w:hAnsi="Arial Narrow" w:cs="Arial"/>
          <w:sz w:val="28"/>
          <w:szCs w:val="28"/>
        </w:rPr>
      </w:pPr>
      <w:r w:rsidRPr="002814E1">
        <w:rPr>
          <w:rFonts w:ascii="Arial Narrow" w:hAnsi="Arial Narrow" w:cs="Arial"/>
          <w:sz w:val="28"/>
          <w:szCs w:val="28"/>
        </w:rPr>
        <w:t>Atentamente. -</w:t>
      </w:r>
    </w:p>
    <w:p w14:paraId="2F098266" w14:textId="77777777" w:rsidR="002814E1" w:rsidRDefault="002814E1" w:rsidP="002814E1">
      <w:pPr>
        <w:widowControl w:val="0"/>
        <w:tabs>
          <w:tab w:val="left" w:pos="5783"/>
        </w:tabs>
        <w:jc w:val="both"/>
        <w:rPr>
          <w:rFonts w:ascii="Arial" w:hAnsi="Arial" w:cs="Arial"/>
          <w:sz w:val="28"/>
          <w:szCs w:val="28"/>
        </w:rPr>
      </w:pPr>
      <w:r>
        <w:rPr>
          <w:rFonts w:ascii="Arial" w:hAnsi="Arial" w:cs="Arial"/>
          <w:noProof/>
          <w:sz w:val="28"/>
          <w:szCs w:val="28"/>
          <w:lang w:eastAsia="es-ES"/>
        </w:rPr>
        <w:t xml:space="preserve">                     </w:t>
      </w:r>
      <w:r>
        <w:rPr>
          <w:rFonts w:ascii="Arial" w:hAnsi="Arial" w:cs="Arial"/>
          <w:sz w:val="28"/>
          <w:szCs w:val="28"/>
        </w:rPr>
        <w:t xml:space="preserve">                         </w:t>
      </w:r>
      <w:r>
        <w:rPr>
          <w:rFonts w:ascii="Arial" w:hAnsi="Arial" w:cs="Arial"/>
          <w:noProof/>
          <w:sz w:val="28"/>
          <w:szCs w:val="28"/>
          <w:lang w:eastAsia="es-ES"/>
        </w:rPr>
        <w:drawing>
          <wp:inline distT="0" distB="0" distL="0" distR="0" wp14:anchorId="1EC680FF" wp14:editId="404F8A1B">
            <wp:extent cx="1114425" cy="1428750"/>
            <wp:effectExtent l="19050" t="0" r="9525" b="0"/>
            <wp:docPr id="3" name="Imagen 3" descr="Compras y Contrat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ompras y Contrataciones"/>
                    <pic:cNvPicPr>
                      <a:picLocks noChangeAspect="1" noChangeArrowheads="1"/>
                    </pic:cNvPicPr>
                  </pic:nvPicPr>
                  <pic:blipFill>
                    <a:blip r:embed="rId6" cstate="print"/>
                    <a:srcRect/>
                    <a:stretch>
                      <a:fillRect/>
                    </a:stretch>
                  </pic:blipFill>
                  <pic:spPr bwMode="auto">
                    <a:xfrm>
                      <a:off x="0" y="0"/>
                      <a:ext cx="1114425" cy="1428750"/>
                    </a:xfrm>
                    <a:prstGeom prst="rect">
                      <a:avLst/>
                    </a:prstGeom>
                    <a:noFill/>
                    <a:ln w="9525">
                      <a:noFill/>
                      <a:miter lim="800000"/>
                      <a:headEnd/>
                      <a:tailEnd/>
                    </a:ln>
                  </pic:spPr>
                </pic:pic>
              </a:graphicData>
            </a:graphic>
          </wp:inline>
        </w:drawing>
      </w:r>
      <w:r>
        <w:rPr>
          <w:rFonts w:ascii="Arial" w:hAnsi="Arial" w:cs="Arial"/>
          <w:sz w:val="28"/>
          <w:szCs w:val="28"/>
        </w:rPr>
        <w:t xml:space="preserve">                </w:t>
      </w:r>
      <w:r>
        <w:rPr>
          <w:rFonts w:ascii="Arial" w:hAnsi="Arial" w:cs="Arial"/>
          <w:noProof/>
          <w:sz w:val="28"/>
          <w:szCs w:val="28"/>
          <w:lang w:eastAsia="es-ES"/>
        </w:rPr>
        <w:drawing>
          <wp:inline distT="0" distB="0" distL="0" distR="0" wp14:anchorId="467214FC" wp14:editId="219BE5F5">
            <wp:extent cx="1190625" cy="1543050"/>
            <wp:effectExtent l="19050" t="0" r="9525" b="0"/>
            <wp:docPr id="2" name="Imagen 2" descr="Firma Claudio Fa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Firma Claudio Faner"/>
                    <pic:cNvPicPr>
                      <a:picLocks noChangeAspect="1" noChangeArrowheads="1"/>
                    </pic:cNvPicPr>
                  </pic:nvPicPr>
                  <pic:blipFill>
                    <a:blip r:embed="rId7" cstate="print"/>
                    <a:srcRect/>
                    <a:stretch>
                      <a:fillRect/>
                    </a:stretch>
                  </pic:blipFill>
                  <pic:spPr bwMode="auto">
                    <a:xfrm>
                      <a:off x="0" y="0"/>
                      <a:ext cx="1190625" cy="1543050"/>
                    </a:xfrm>
                    <a:prstGeom prst="rect">
                      <a:avLst/>
                    </a:prstGeom>
                    <a:noFill/>
                    <a:ln w="9525">
                      <a:noFill/>
                      <a:miter lim="800000"/>
                      <a:headEnd/>
                      <a:tailEnd/>
                    </a:ln>
                  </pic:spPr>
                </pic:pic>
              </a:graphicData>
            </a:graphic>
          </wp:inline>
        </w:drawing>
      </w:r>
    </w:p>
    <w:p w14:paraId="1ADC5268" w14:textId="77777777" w:rsidR="001E02AE" w:rsidRPr="00C43653" w:rsidRDefault="002814E1" w:rsidP="00C43653">
      <w:pPr>
        <w:jc w:val="both"/>
      </w:pPr>
      <w:r>
        <w:tab/>
      </w:r>
    </w:p>
    <w:p w14:paraId="115220F9" w14:textId="77777777" w:rsidR="000D211B" w:rsidRDefault="000D211B"/>
    <w:sectPr w:rsidR="000D211B" w:rsidSect="00C43653">
      <w:pgSz w:w="11907" w:h="16840" w:code="9"/>
      <w:pgMar w:top="851" w:right="1418" w:bottom="1985"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30372"/>
    <w:multiLevelType w:val="hybridMultilevel"/>
    <w:tmpl w:val="E4285B3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954192C"/>
    <w:multiLevelType w:val="multilevel"/>
    <w:tmpl w:val="E7FC3A40"/>
    <w:lvl w:ilvl="0">
      <w:start w:val="1"/>
      <w:numFmt w:val="lowerLetter"/>
      <w:lvlText w:val="%1)"/>
      <w:lvlJc w:val="left"/>
      <w:pPr>
        <w:ind w:left="720" w:hanging="360"/>
      </w:pPr>
      <w:rPr>
        <w:rFonts w:ascii="Arial Narrow" w:eastAsia="Arial Narrow" w:hAnsi="Arial Narrow" w:cs="Arial Narrow"/>
        <w:b w:val="0"/>
        <w:i w:val="0"/>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50620D8"/>
    <w:multiLevelType w:val="hybridMultilevel"/>
    <w:tmpl w:val="62302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FE110E1"/>
    <w:multiLevelType w:val="multilevel"/>
    <w:tmpl w:val="E7FC3A40"/>
    <w:lvl w:ilvl="0">
      <w:start w:val="1"/>
      <w:numFmt w:val="lowerLetter"/>
      <w:lvlText w:val="%1)"/>
      <w:lvlJc w:val="left"/>
      <w:pPr>
        <w:ind w:left="720" w:hanging="360"/>
      </w:pPr>
      <w:rPr>
        <w:rFonts w:ascii="Arial Narrow" w:eastAsia="Arial Narrow" w:hAnsi="Arial Narrow" w:cs="Arial Narrow"/>
        <w:b w:val="0"/>
        <w:i w:val="0"/>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4036822">
    <w:abstractNumId w:val="0"/>
  </w:num>
  <w:num w:numId="2" w16cid:durableId="1582717520">
    <w:abstractNumId w:val="2"/>
  </w:num>
  <w:num w:numId="3" w16cid:durableId="1516772922">
    <w:abstractNumId w:val="1"/>
  </w:num>
  <w:num w:numId="4" w16cid:durableId="2127849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63D"/>
    <w:rsid w:val="000B2612"/>
    <w:rsid w:val="000C6981"/>
    <w:rsid w:val="000D211B"/>
    <w:rsid w:val="00143947"/>
    <w:rsid w:val="00157031"/>
    <w:rsid w:val="001B2B05"/>
    <w:rsid w:val="001E02AE"/>
    <w:rsid w:val="001F261C"/>
    <w:rsid w:val="002609B2"/>
    <w:rsid w:val="002814E1"/>
    <w:rsid w:val="00320A74"/>
    <w:rsid w:val="00342726"/>
    <w:rsid w:val="00392070"/>
    <w:rsid w:val="00430C33"/>
    <w:rsid w:val="00445C40"/>
    <w:rsid w:val="0047791F"/>
    <w:rsid w:val="004B3B3A"/>
    <w:rsid w:val="004D20D2"/>
    <w:rsid w:val="00537109"/>
    <w:rsid w:val="00565751"/>
    <w:rsid w:val="00617E5E"/>
    <w:rsid w:val="0063760F"/>
    <w:rsid w:val="006D409B"/>
    <w:rsid w:val="0073026C"/>
    <w:rsid w:val="007313F7"/>
    <w:rsid w:val="007935F4"/>
    <w:rsid w:val="007D603C"/>
    <w:rsid w:val="008605A2"/>
    <w:rsid w:val="00883D47"/>
    <w:rsid w:val="009A67E0"/>
    <w:rsid w:val="009F21BA"/>
    <w:rsid w:val="00AA063D"/>
    <w:rsid w:val="00B812C9"/>
    <w:rsid w:val="00C1019F"/>
    <w:rsid w:val="00C12360"/>
    <w:rsid w:val="00C35A11"/>
    <w:rsid w:val="00C43653"/>
    <w:rsid w:val="00D234CA"/>
    <w:rsid w:val="00D441E5"/>
    <w:rsid w:val="00D529CC"/>
    <w:rsid w:val="00D917F3"/>
    <w:rsid w:val="00DB1CC8"/>
    <w:rsid w:val="00DE5B29"/>
    <w:rsid w:val="00EE6830"/>
    <w:rsid w:val="00F55F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D5F0"/>
  <w15:docId w15:val="{20BAD282-C6BF-4AA7-837F-8B2F99D0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9B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F26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F26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4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559</Words>
  <Characters>3080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Allende Mariana Mercedes</dc:creator>
  <cp:lastModifiedBy>usuario</cp:lastModifiedBy>
  <cp:revision>2</cp:revision>
  <cp:lastPrinted>2022-05-23T13:36:00Z</cp:lastPrinted>
  <dcterms:created xsi:type="dcterms:W3CDTF">2022-05-23T14:29:00Z</dcterms:created>
  <dcterms:modified xsi:type="dcterms:W3CDTF">2022-05-23T14:29:00Z</dcterms:modified>
</cp:coreProperties>
</file>