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jc w:val="center"/>
      </w:pPr>
      <w:r>
        <w:rPr>
          <w:rFonts w:ascii="Arial" w:hAnsi="Arial"/>
          <w:b/>
          <w:sz w:val="22"/>
        </w:rPr>
        <w:t>Фотоотчет по механическим системам</w:t>
      </w:r>
      <w:r>
        <w:rPr>
          <w:rFonts w:ascii="Arial" w:hAnsi="Arial"/>
          <w:b/>
          <w:sz w:val="22"/>
        </w:rPr>
        <w:t xml:space="preserve"> от </w:t>
      </w:r>
      <w:r>
        <w:rPr>
          <w:rFonts w:ascii="Arial" w:hAnsi="Arial"/>
          <w:b/>
          <w:sz w:val="22"/>
        </w:rPr>
        <w:t>30.09.2026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7370"/>
      </w:tblGrid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16 тонн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тест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4140000" cy="345357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fbcc709c2f4aabafc6dbe16d75392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3453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Наружные сети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СК МИР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тест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4140000" cy="345357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c5f1606c774fc3bded5d6bc2020690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3453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402" w:hRule="atLeast"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16 тонн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</w:r>
            <w:r>
              <w:rPr>
                <w:rFonts w:ascii="Arial" w:hAnsi="Arial"/>
                <w:b/>
                <w:sz w:val="22"/>
              </w:rPr>
              <w:t>Армо-Лайн</w:t>
            </w:r>
          </w:p>
          <w:p>
            <w:pPr>
              <w:spacing w:before="0" w:after="0"/>
              <w:jc w:val="center"/>
            </w:pPr>
            <w:r>
              <w:rPr>
                <w:rFonts w:ascii="Arial" w:hAnsi="Arial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</w:r>
            <w:r>
              <w:rPr>
                <w:rFonts w:ascii="Arial" w:hAnsi="Arial"/>
                <w:b w:val="0"/>
                <w:sz w:val="22"/>
              </w:rPr>
              <w:t>тест</w:t>
            </w:r>
          </w:p>
        </w:tc>
        <w:tc>
          <w:tcPr>
            <w:tcW w:type="dxa" w:w="7370"/>
            <w:vAlign w:val="center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/>
            <w:r/>
            <w:r>
              <w:drawing>
                <wp:inline xmlns:a="http://schemas.openxmlformats.org/drawingml/2006/main" xmlns:pic="http://schemas.openxmlformats.org/drawingml/2006/picture">
                  <wp:extent cx="4140000" cy="345357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ef1864794e4bbfb9498b0fece50e5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34535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2"/>
      </w:rPr>
      <w:t xml:space="preserve">Страница </w:t>
    </w:r>
    <w:r>
      <w:rPr>
        <w:rFonts w:ascii="Arial" w:hAnsi="Arial"/>
        <w:sz w:val="22"/>
      </w:rPr>
      <w:fldChar w:fldCharType="begin"/>
      <w:instrText xml:space="preserve">PAGE</w:instrText>
      <w:fldChar w:fldCharType="end"/>
    </w:r>
    <w:r>
      <w:rPr>
        <w:rFonts w:ascii="Arial" w:hAnsi="Arial"/>
        <w:sz w:val="22"/>
      </w:rPr>
      <w:t xml:space="preserve"> из </w:t>
    </w:r>
    <w:r>
      <w:rPr>
        <w:rFonts w:ascii="Arial" w:hAnsi="Arial"/>
        <w:sz w:val="22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  <w:tblW w:w="5000" w:type="pct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2"/>
      <w:gridCol w:w="5102"/>
    </w:tblGrid>
    <w:tr>
      <w:tc>
        <w:tcPr>
          <w:tcW w:type="dxa" w:w="5102"/>
          <w:tcW w:w="3000" w:type="pct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260000" cy="41752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ovis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000" cy="41752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102"/>
          <w:tcW w:w="7000" w:type="pct"/>
          <w:vAlign w:val="center"/>
        </w:tcPr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ООО «БОВИС УПРАВЛЕНИЕ ПРОЕКТАМИ»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121059, г.Москва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Вн. Тер. Г. Муниципальный округ Дорогомилово,</w:t>
          </w:r>
        </w:p>
        <w:p>
          <w:pPr>
            <w:spacing w:before="0" w:after="0" w:line="240" w:lineRule="auto"/>
            <w:jc w:val="right"/>
          </w:pPr>
          <w:r>
            <w:rPr>
              <w:rFonts w:ascii="Arial Narrow" w:hAnsi="Arial Narrow" w:cs="Arial Narrow" w:eastAsia="Arial Narrow"/>
              <w:color w:val="1A89C0"/>
              <w:sz w:val="18"/>
            </w:rPr>
            <w:t>ул. 1-я Бородинская, д. 2А, помещ. 3Ц</w:t>
          </w:r>
        </w:p>
      </w:tc>
    </w:tr>
  </w:tbl>
  <w:p>
    <w:pPr>
      <w:spacing w:before="0" w:after="12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