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rPr/>
      </w:pPr>
      <w:bookmarkStart w:colFirst="0" w:colLast="0" w:name="_iisy3lbgxswb" w:id="0"/>
      <w:bookmarkEnd w:id="0"/>
      <w:r w:rsidDel="00000000" w:rsidR="00000000" w:rsidRPr="00000000">
        <w:rPr>
          <w:rtl w:val="0"/>
        </w:rPr>
        <w:t xml:space="preserve">Genome-scale metabolic modeling and AI identify host-specific nitrification and carbon utilization in </w:t>
      </w:r>
      <w:r w:rsidDel="00000000" w:rsidR="00000000" w:rsidRPr="00000000">
        <w:rPr>
          <w:i w:val="1"/>
          <w:iCs w:val="1"/>
          <w:rtl w:val="0"/>
        </w:rPr>
        <w:t xml:space="preserve">Achromobacter xylosoxidans</w:t>
      </w:r>
      <w:r w:rsidDel="00000000" w:rsidR="00000000" w:rsidRPr="00000000">
        <w:rPr>
          <w:rtl w:val="0"/>
        </w:rPr>
      </w:r>
    </w:p>
    <w:p w:rsidR="00000000" w:rsidDel="00000000" w:rsidP="00000000" w:rsidRDefault="00000000" w:rsidRPr="00000000" w14:paraId="00000002">
      <w:pPr>
        <w:spacing w:after="240" w:before="240" w:line="360" w:lineRule="auto"/>
        <w:rPr>
          <w:vertAlign w:val="superscript"/>
        </w:rPr>
      </w:pPr>
      <w:r w:rsidDel="00000000" w:rsidR="00000000" w:rsidRPr="00000000">
        <w:rPr>
          <w:rtl w:val="0"/>
        </w:rPr>
        <w:t xml:space="preserve">Gabriela Canto-Encalada</w:t>
      </w:r>
      <w:r w:rsidDel="00000000" w:rsidR="00000000" w:rsidRPr="00000000">
        <w:rPr>
          <w:vertAlign w:val="superscript"/>
          <w:rtl w:val="0"/>
        </w:rPr>
        <w:t xml:space="preserve">1</w:t>
      </w:r>
      <w:r w:rsidDel="00000000" w:rsidR="00000000" w:rsidRPr="00000000">
        <w:rPr>
          <w:rtl w:val="0"/>
        </w:rPr>
        <w:t xml:space="preserve">, Hamza Hajama</w:t>
      </w:r>
      <w:r w:rsidDel="00000000" w:rsidR="00000000" w:rsidRPr="00000000">
        <w:rPr>
          <w:vertAlign w:val="superscript"/>
          <w:rtl w:val="0"/>
        </w:rPr>
        <w:t xml:space="preserve">1</w:t>
      </w:r>
      <w:r w:rsidDel="00000000" w:rsidR="00000000" w:rsidRPr="00000000">
        <w:rPr>
          <w:rtl w:val="0"/>
        </w:rPr>
        <w:t xml:space="preserve">, Alexis Saldivar</w:t>
      </w:r>
      <w:r w:rsidDel="00000000" w:rsidR="00000000" w:rsidRPr="00000000">
        <w:rPr>
          <w:vertAlign w:val="superscript"/>
          <w:rtl w:val="0"/>
        </w:rPr>
        <w:t xml:space="preserve">1</w:t>
      </w:r>
      <w:r w:rsidDel="00000000" w:rsidR="00000000" w:rsidRPr="00000000">
        <w:rPr>
          <w:rtl w:val="0"/>
        </w:rPr>
        <w:t xml:space="preserve">, Ademikanra Adekunle</w:t>
      </w:r>
      <w:r w:rsidDel="00000000" w:rsidR="00000000" w:rsidRPr="00000000">
        <w:rPr>
          <w:vertAlign w:val="superscript"/>
          <w:rtl w:val="0"/>
        </w:rPr>
        <w:t xml:space="preserve">1</w:t>
      </w:r>
      <w:r w:rsidDel="00000000" w:rsidR="00000000" w:rsidRPr="00000000">
        <w:rPr>
          <w:rtl w:val="0"/>
        </w:rPr>
        <w:t xml:space="preserve">, Gregory </w:t>
      </w:r>
      <w:r w:rsidDel="00000000" w:rsidR="00000000" w:rsidRPr="00000000">
        <w:rPr>
          <w:color w:val="222222"/>
          <w:highlight w:val="white"/>
          <w:rtl w:val="0"/>
        </w:rPr>
        <w:t xml:space="preserve">Willkeen</w:t>
      </w:r>
      <w:r w:rsidDel="00000000" w:rsidR="00000000" w:rsidRPr="00000000">
        <w:rPr>
          <w:vertAlign w:val="superscript"/>
          <w:rtl w:val="0"/>
        </w:rPr>
        <w:t xml:space="preserve">1</w:t>
      </w:r>
      <w:r w:rsidDel="00000000" w:rsidR="00000000" w:rsidRPr="00000000">
        <w:rPr>
          <w:rtl w:val="0"/>
        </w:rPr>
        <w:t xml:space="preserve">, Alannah Harnden</w:t>
      </w:r>
      <w:r w:rsidDel="00000000" w:rsidR="00000000" w:rsidRPr="00000000">
        <w:rPr>
          <w:vertAlign w:val="superscript"/>
          <w:rtl w:val="0"/>
        </w:rPr>
        <w:t xml:space="preserve">1</w:t>
      </w:r>
      <w:r w:rsidDel="00000000" w:rsidR="00000000" w:rsidRPr="00000000">
        <w:rPr>
          <w:rtl w:val="0"/>
        </w:rPr>
        <w:t xml:space="preserve">, Anca M. Segall</w:t>
      </w:r>
      <w:r w:rsidDel="00000000" w:rsidR="00000000" w:rsidRPr="00000000">
        <w:rPr>
          <w:vertAlign w:val="superscript"/>
          <w:rtl w:val="0"/>
        </w:rPr>
        <w:t xml:space="preserve">1</w:t>
      </w:r>
      <w:r w:rsidDel="00000000" w:rsidR="00000000" w:rsidRPr="00000000">
        <w:rPr>
          <w:rtl w:val="0"/>
        </w:rPr>
        <w:t xml:space="preserve">, Cristal Zuniga</w:t>
      </w:r>
      <w:r w:rsidDel="00000000" w:rsidR="00000000" w:rsidRPr="00000000">
        <w:rPr>
          <w:vertAlign w:val="superscript"/>
          <w:rtl w:val="0"/>
        </w:rPr>
        <w:t xml:space="preserve">1,2</w:t>
      </w:r>
    </w:p>
    <w:p w:rsidR="00000000" w:rsidDel="00000000" w:rsidP="00000000" w:rsidRDefault="00000000" w:rsidRPr="00000000" w14:paraId="00000003">
      <w:pPr>
        <w:spacing w:before="240" w:line="360" w:lineRule="auto"/>
        <w:rPr/>
      </w:pPr>
      <w:r w:rsidDel="00000000" w:rsidR="00000000" w:rsidRPr="00000000">
        <w:rPr>
          <w:vertAlign w:val="superscript"/>
          <w:rtl w:val="0"/>
        </w:rPr>
        <w:t xml:space="preserve">1</w:t>
      </w:r>
      <w:r w:rsidDel="00000000" w:rsidR="00000000" w:rsidRPr="00000000">
        <w:rPr>
          <w:rtl w:val="0"/>
        </w:rPr>
        <w:t xml:space="preserve">Department of Biology, San Diego State University, San Diego, CA, USA</w:t>
      </w:r>
    </w:p>
    <w:p w:rsidR="00000000" w:rsidDel="00000000" w:rsidP="00000000" w:rsidRDefault="00000000" w:rsidRPr="00000000" w14:paraId="00000004">
      <w:pPr>
        <w:spacing w:after="160" w:line="259" w:lineRule="auto"/>
        <w:rPr/>
      </w:pPr>
      <w:r w:rsidDel="00000000" w:rsidR="00000000" w:rsidRPr="00000000">
        <w:rPr>
          <w:vertAlign w:val="superscript"/>
          <w:rtl w:val="0"/>
        </w:rPr>
        <w:t xml:space="preserve">2</w:t>
      </w:r>
      <w:r w:rsidDel="00000000" w:rsidR="00000000" w:rsidRPr="00000000">
        <w:rPr>
          <w:rtl w:val="0"/>
        </w:rPr>
        <w:t xml:space="preserve">DOE Great Lakes Bioenergy Research Center, San Diego State University, San Diego, CA  92182, USA</w:t>
      </w:r>
    </w:p>
    <w:p w:rsidR="00000000" w:rsidDel="00000000" w:rsidP="00000000" w:rsidRDefault="00000000" w:rsidRPr="00000000" w14:paraId="00000005">
      <w:pPr>
        <w:spacing w:after="240" w:before="240" w:lineRule="auto"/>
        <w:rPr/>
      </w:pPr>
      <w:r w:rsidDel="00000000" w:rsidR="00000000" w:rsidRPr="00000000">
        <w:rPr>
          <w:rtl w:val="0"/>
        </w:rPr>
        <w:t xml:space="preserve">*Corresponding author: Cristal Zuniga</w:t>
      </w:r>
    </w:p>
    <w:p w:rsidR="00000000" w:rsidDel="00000000" w:rsidP="00000000" w:rsidRDefault="00000000" w:rsidRPr="00000000" w14:paraId="00000006">
      <w:pPr>
        <w:spacing w:after="240" w:before="240" w:lineRule="auto"/>
        <w:rPr/>
      </w:pPr>
      <w:r w:rsidDel="00000000" w:rsidR="00000000" w:rsidRPr="00000000">
        <w:rPr>
          <w:color w:val="222222"/>
          <w:highlight w:val="white"/>
          <w:rtl w:val="0"/>
        </w:rPr>
        <w:t xml:space="preserve">Department of Biology, San Diego State University, 5500 Campanile Drive, San Diego, CA 92182, USA. Phone: (619) 594-5655, E-mail: czuniga2@sdsu.edu</w: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pStyle w:val="Heading1"/>
        <w:rPr/>
      </w:pPr>
      <w:bookmarkStart w:colFirst="0" w:colLast="0" w:name="_a0rg6prse1u2" w:id="1"/>
      <w:bookmarkEnd w:id="1"/>
      <w:r w:rsidDel="00000000" w:rsidR="00000000" w:rsidRPr="00000000">
        <w:rPr>
          <w:rtl w:val="0"/>
        </w:rPr>
      </w:r>
    </w:p>
    <w:p w:rsidR="00000000" w:rsidDel="00000000" w:rsidP="00000000" w:rsidRDefault="00000000" w:rsidRPr="00000000" w14:paraId="00000009">
      <w:pPr>
        <w:pStyle w:val="Heading1"/>
        <w:rPr/>
      </w:pPr>
      <w:bookmarkStart w:colFirst="0" w:colLast="0" w:name="_78hsqu41wzt5" w:id="2"/>
      <w:bookmarkEnd w:id="2"/>
      <w:r w:rsidDel="00000000" w:rsidR="00000000" w:rsidRPr="00000000">
        <w:rPr>
          <w:rtl w:val="0"/>
        </w:rPr>
      </w:r>
    </w:p>
    <w:p w:rsidR="00000000" w:rsidDel="00000000" w:rsidP="00000000" w:rsidRDefault="00000000" w:rsidRPr="00000000" w14:paraId="0000000A">
      <w:pPr>
        <w:pStyle w:val="Heading1"/>
        <w:rPr/>
      </w:pPr>
      <w:bookmarkStart w:colFirst="0" w:colLast="0" w:name="_d7eryy1y3lvb" w:id="3"/>
      <w:bookmarkEnd w:id="3"/>
      <w:r w:rsidDel="00000000" w:rsidR="00000000" w:rsidRPr="00000000">
        <w:rPr>
          <w:rtl w:val="0"/>
        </w:rPr>
      </w:r>
    </w:p>
    <w:p w:rsidR="00000000" w:rsidDel="00000000" w:rsidP="00000000" w:rsidRDefault="00000000" w:rsidRPr="00000000" w14:paraId="0000000B">
      <w:pPr>
        <w:pStyle w:val="Heading1"/>
        <w:rPr/>
      </w:pPr>
      <w:bookmarkStart w:colFirst="0" w:colLast="0" w:name="_bmbkywhzkm2p" w:id="4"/>
      <w:bookmarkEnd w:id="4"/>
      <w:r w:rsidDel="00000000" w:rsidR="00000000" w:rsidRPr="00000000">
        <w:rPr>
          <w:rtl w:val="0"/>
        </w:rPr>
      </w:r>
    </w:p>
    <w:p w:rsidR="00000000" w:rsidDel="00000000" w:rsidP="00000000" w:rsidRDefault="00000000" w:rsidRPr="00000000" w14:paraId="0000000C">
      <w:pPr>
        <w:shd w:fill="ffffff" w:val="clear"/>
        <w:spacing w:before="240" w:line="276" w:lineRule="auto"/>
        <w:jc w:val="both"/>
        <w:rPr>
          <w:i w:val="1"/>
          <w:iCs w:val="1"/>
        </w:rPr>
      </w:pPr>
      <w:r w:rsidDel="00000000" w:rsidR="00000000" w:rsidRPr="00000000">
        <w:rPr>
          <w:rtl w:val="0"/>
        </w:rPr>
      </w:r>
    </w:p>
    <w:p w:rsidR="00000000" w:rsidDel="00000000" w:rsidP="00000000" w:rsidRDefault="00000000" w:rsidRPr="00000000" w14:paraId="0000000D">
      <w:pPr>
        <w:shd w:fill="ffffff" w:val="clear"/>
        <w:spacing w:before="240" w:line="276" w:lineRule="auto"/>
        <w:jc w:val="both"/>
        <w:rPr>
          <w:i w:val="1"/>
          <w:iCs w:val="1"/>
        </w:rPr>
      </w:pPr>
      <w:r w:rsidDel="00000000" w:rsidR="00000000" w:rsidRPr="00000000">
        <w:rPr>
          <w:rtl w:val="0"/>
        </w:rPr>
      </w:r>
    </w:p>
    <w:p w:rsidR="00000000" w:rsidDel="00000000" w:rsidP="00000000" w:rsidRDefault="00000000" w:rsidRPr="00000000" w14:paraId="0000000E">
      <w:pPr>
        <w:pStyle w:val="Heading1"/>
        <w:ind w:left="720" w:firstLine="0"/>
        <w:rPr/>
      </w:pPr>
      <w:bookmarkStart w:colFirst="0" w:colLast="0" w:name="_x55btnh0i38t" w:id="5"/>
      <w:bookmarkEnd w:id="5"/>
      <w:r w:rsidDel="00000000" w:rsidR="00000000" w:rsidRPr="00000000">
        <w:rPr>
          <w:rtl w:val="0"/>
        </w:rPr>
        <w:t xml:space="preserve">2. </w:t>
      </w:r>
      <w:r w:rsidDel="00000000" w:rsidR="00000000" w:rsidRPr="00000000">
        <w:rPr>
          <w:rtl w:val="0"/>
        </w:rPr>
        <w:t xml:space="preserve">R</w:t>
      </w:r>
      <w:r w:rsidDel="00000000" w:rsidR="00000000" w:rsidRPr="00000000">
        <w:rPr>
          <w:rtl w:val="0"/>
        </w:rPr>
        <w:t xml:space="preserve">esults</w:t>
      </w:r>
    </w:p>
    <w:p w:rsidR="00000000" w:rsidDel="00000000" w:rsidP="00000000" w:rsidRDefault="00000000" w:rsidRPr="00000000" w14:paraId="0000000F">
      <w:pPr>
        <w:pStyle w:val="Heading5"/>
        <w:jc w:val="both"/>
        <w:rPr/>
      </w:pPr>
      <w:bookmarkStart w:colFirst="0" w:colLast="0" w:name="_6e02zhgysa9z" w:id="6"/>
      <w:bookmarkEnd w:id="6"/>
      <w:r w:rsidDel="00000000" w:rsidR="00000000" w:rsidRPr="00000000">
        <w:rPr>
          <w:rtl w:val="0"/>
        </w:rPr>
        <w:t xml:space="preserve">2.2.3 </w:t>
      </w:r>
      <w:r w:rsidDel="00000000" w:rsidR="00000000" w:rsidRPr="00000000">
        <w:rPr>
          <w:i w:val="1"/>
          <w:iCs w:val="1"/>
          <w:rtl w:val="0"/>
        </w:rPr>
        <w:t xml:space="preserve">A. xylosoxidans</w:t>
      </w:r>
      <w:r w:rsidDel="00000000" w:rsidR="00000000" w:rsidRPr="00000000">
        <w:rPr>
          <w:rtl w:val="0"/>
        </w:rPr>
        <w:t xml:space="preserve"> specific</w:t>
      </w:r>
      <w:r w:rsidDel="00000000" w:rsidR="00000000" w:rsidRPr="00000000">
        <w:rPr>
          <w:rtl w:val="0"/>
        </w:rPr>
        <w:t xml:space="preserve"> biomass objective function</w:t>
      </w:r>
    </w:p>
    <w:p w:rsidR="00000000" w:rsidDel="00000000" w:rsidP="00000000" w:rsidRDefault="00000000" w:rsidRPr="00000000" w14:paraId="00000010">
      <w:pPr>
        <w:shd w:fill="ffffff" w:val="clear"/>
        <w:ind w:firstLine="20"/>
        <w:jc w:val="both"/>
        <w:rPr>
          <w:highlight w:val="white"/>
        </w:rPr>
      </w:pPr>
      <w:r w:rsidDel="00000000" w:rsidR="00000000" w:rsidRPr="00000000">
        <w:rPr>
          <w:highlight w:val="white"/>
          <w:rtl w:val="0"/>
        </w:rPr>
        <w:t xml:space="preserve">The Biomass Objective Function (BO</w:t>
      </w:r>
      <w:r w:rsidDel="00000000" w:rsidR="00000000" w:rsidRPr="00000000">
        <w:rPr>
          <w:highlight w:val="white"/>
          <w:rtl w:val="0"/>
        </w:rPr>
        <w:t xml:space="preserve">F) is a stoichiometric reaction that represents </w:t>
      </w:r>
      <w:r w:rsidDel="00000000" w:rsidR="00000000" w:rsidRPr="00000000">
        <w:rPr>
          <w:i w:val="1"/>
          <w:iCs w:val="1"/>
          <w:highlight w:val="white"/>
          <w:rtl w:val="0"/>
        </w:rPr>
        <w:t xml:space="preserve">Ax </w:t>
      </w:r>
      <w:r w:rsidDel="00000000" w:rsidR="00000000" w:rsidRPr="00000000">
        <w:rPr>
          <w:highlight w:val="white"/>
          <w:rtl w:val="0"/>
        </w:rPr>
        <w:t xml:space="preserve"> biomass composition, including proteins, carbohydrates, lipids, nucleic acids, and other macromolecules</w:t>
      </w:r>
      <w:r w:rsidDel="00000000" w:rsidR="00000000" w:rsidRPr="00000000">
        <w:rPr>
          <w:i w:val="1"/>
          <w:iCs w:val="1"/>
          <w:highlight w:val="white"/>
          <w:rtl w:val="0"/>
        </w:rPr>
        <w:t xml:space="preserve"> </w:t>
      </w:r>
      <w:hyperlink r:id="rId6">
        <w:r w:rsidDel="00000000" w:rsidR="00000000" w:rsidRPr="00000000">
          <w:rPr>
            <w:rtl w:val="0"/>
          </w:rPr>
          <w:t xml:space="preserve">(1)</w:t>
        </w:r>
      </w:hyperlink>
      <w:r w:rsidDel="00000000" w:rsidR="00000000" w:rsidRPr="00000000">
        <w:rPr>
          <w:highlight w:val="white"/>
          <w:rtl w:val="0"/>
        </w:rPr>
        <w:t xml:space="preserve">. The stoichiometric value of each metabolite is defined as millimoles per gram dry weight (mmol/gDW) of biomass.</w:t>
      </w:r>
    </w:p>
    <w:p w:rsidR="00000000" w:rsidDel="00000000" w:rsidP="00000000" w:rsidRDefault="00000000" w:rsidRPr="00000000" w14:paraId="00000011">
      <w:pPr>
        <w:shd w:fill="ffffff" w:val="clear"/>
        <w:ind w:firstLine="20"/>
        <w:jc w:val="both"/>
        <w:rPr>
          <w:highlight w:val="white"/>
          <w:vertAlign w:val="superscript"/>
        </w:rPr>
      </w:pPr>
      <w:r w:rsidDel="00000000" w:rsidR="00000000" w:rsidRPr="00000000">
        <w:rPr>
          <w:highlight w:val="white"/>
          <w:rtl w:val="0"/>
        </w:rPr>
        <w:tab/>
        <w:t xml:space="preserve">Initially, the BOF was imported from the </w:t>
      </w:r>
      <w:r w:rsidDel="00000000" w:rsidR="00000000" w:rsidRPr="00000000">
        <w:rPr>
          <w:i w:val="1"/>
          <w:iCs w:val="1"/>
          <w:highlight w:val="white"/>
          <w:rtl w:val="0"/>
        </w:rPr>
        <w:t xml:space="preserve">i</w:t>
      </w:r>
      <w:r w:rsidDel="00000000" w:rsidR="00000000" w:rsidRPr="00000000">
        <w:rPr>
          <w:highlight w:val="white"/>
          <w:rtl w:val="0"/>
        </w:rPr>
        <w:t xml:space="preserve">ML1515 template model and was further adapted to </w:t>
      </w:r>
      <w:r w:rsidDel="00000000" w:rsidR="00000000" w:rsidRPr="00000000">
        <w:rPr>
          <w:i w:val="1"/>
          <w:iCs w:val="1"/>
          <w:highlight w:val="white"/>
          <w:rtl w:val="0"/>
        </w:rPr>
        <w:t xml:space="preserve">Ax </w:t>
      </w:r>
      <w:r w:rsidDel="00000000" w:rsidR="00000000" w:rsidRPr="00000000">
        <w:rPr>
          <w:highlight w:val="white"/>
          <w:rtl w:val="0"/>
        </w:rPr>
        <w:t xml:space="preserve">traits. The total mass fractions of DNA, carbohydrates, lipids, and proteins in </w:t>
      </w:r>
      <w:r w:rsidDel="00000000" w:rsidR="00000000" w:rsidRPr="00000000">
        <w:rPr>
          <w:i w:val="1"/>
          <w:iCs w:val="1"/>
          <w:highlight w:val="white"/>
          <w:rtl w:val="0"/>
        </w:rPr>
        <w:t xml:space="preserve">Ax</w:t>
      </w:r>
      <w:r w:rsidDel="00000000" w:rsidR="00000000" w:rsidRPr="00000000">
        <w:rPr>
          <w:highlight w:val="white"/>
          <w:rtl w:val="0"/>
        </w:rPr>
        <w:t xml:space="preserve"> biomass were calculated experimentally, accounting for 75.31% of the total dry cell weight (3.8%, 4.9%, 13.27%, and 53.34%, respectively) (</w:t>
      </w:r>
      <w:r w:rsidDel="00000000" w:rsidR="00000000" w:rsidRPr="00000000">
        <w:rPr>
          <w:b w:val="1"/>
          <w:bCs w:val="1"/>
          <w:highlight w:val="white"/>
          <w:rtl w:val="0"/>
        </w:rPr>
        <w:t xml:space="preserve">Fig. 2</w:t>
      </w:r>
      <w:r w:rsidDel="00000000" w:rsidR="00000000" w:rsidRPr="00000000">
        <w:rPr>
          <w:highlight w:val="white"/>
          <w:rtl w:val="0"/>
        </w:rPr>
        <w:t xml:space="preserve">). These values are consistent with previous reports for </w:t>
      </w:r>
      <w:r w:rsidDel="00000000" w:rsidR="00000000" w:rsidRPr="00000000">
        <w:rPr>
          <w:i w:val="1"/>
          <w:iCs w:val="1"/>
          <w:highlight w:val="white"/>
          <w:rtl w:val="0"/>
        </w:rPr>
        <w:t xml:space="preserve">E. coli</w:t>
      </w:r>
      <w:r w:rsidDel="00000000" w:rsidR="00000000" w:rsidRPr="00000000">
        <w:rPr>
          <w:highlight w:val="white"/>
          <w:rtl w:val="0"/>
        </w:rPr>
        <w:t xml:space="preserve">, supporting</w:t>
      </w:r>
      <w:r w:rsidDel="00000000" w:rsidR="00000000" w:rsidRPr="00000000">
        <w:rPr>
          <w:i w:val="1"/>
          <w:iCs w:val="1"/>
          <w:highlight w:val="white"/>
          <w:rtl w:val="0"/>
        </w:rPr>
        <w:t xml:space="preserve"> i</w:t>
      </w:r>
      <w:r w:rsidDel="00000000" w:rsidR="00000000" w:rsidRPr="00000000">
        <w:rPr>
          <w:highlight w:val="white"/>
          <w:rtl w:val="0"/>
        </w:rPr>
        <w:t xml:space="preserve">ML1515 as a suitable template </w:t>
      </w:r>
      <w:hyperlink r:id="rId7">
        <w:r w:rsidDel="00000000" w:rsidR="00000000" w:rsidRPr="00000000">
          <w:rPr>
            <w:rtl w:val="0"/>
          </w:rPr>
          <w:t xml:space="preserve">(2)</w:t>
        </w:r>
      </w:hyperlink>
      <w:r w:rsidDel="00000000" w:rsidR="00000000" w:rsidRPr="00000000">
        <w:rPr>
          <w:highlight w:val="white"/>
          <w:rtl w:val="0"/>
        </w:rPr>
        <w:t xml:space="preserve">. </w:t>
      </w:r>
      <w:r w:rsidDel="00000000" w:rsidR="00000000" w:rsidRPr="00000000">
        <w:rPr>
          <w:rtl w:val="0"/>
        </w:rPr>
      </w:r>
    </w:p>
    <w:p w:rsidR="00000000" w:rsidDel="00000000" w:rsidP="00000000" w:rsidRDefault="00000000" w:rsidRPr="00000000" w14:paraId="00000012">
      <w:pPr>
        <w:shd w:fill="ffffff" w:val="clear"/>
        <w:ind w:firstLine="720"/>
        <w:jc w:val="both"/>
        <w:rPr>
          <w:highlight w:val="white"/>
        </w:rPr>
      </w:pPr>
      <w:r w:rsidDel="00000000" w:rsidR="00000000" w:rsidRPr="00000000">
        <w:rPr>
          <w:highlight w:val="white"/>
          <w:rtl w:val="0"/>
        </w:rPr>
        <w:t xml:space="preserve">R</w:t>
      </w:r>
      <w:r w:rsidDel="00000000" w:rsidR="00000000" w:rsidRPr="00000000">
        <w:rPr>
          <w:highlight w:val="white"/>
          <w:rtl w:val="0"/>
        </w:rPr>
        <w:t xml:space="preserve">emaining macromolecules, such as RNA, cofactors, murein, lipopolysaccharides (LPS), and inorganic ions, were normalized to the residual 24.69% of the biomass, while maintaining the relative proportions among them as defined in the </w:t>
      </w:r>
      <w:r w:rsidDel="00000000" w:rsidR="00000000" w:rsidRPr="00000000">
        <w:rPr>
          <w:i w:val="1"/>
          <w:iCs w:val="1"/>
          <w:highlight w:val="white"/>
          <w:rtl w:val="0"/>
        </w:rPr>
        <w:t xml:space="preserve">E. coli</w:t>
      </w:r>
      <w:r w:rsidDel="00000000" w:rsidR="00000000" w:rsidRPr="00000000">
        <w:rPr>
          <w:highlight w:val="white"/>
          <w:rtl w:val="0"/>
        </w:rPr>
        <w:t xml:space="preserve"> model (</w:t>
      </w:r>
      <w:r w:rsidDel="00000000" w:rsidR="00000000" w:rsidRPr="00000000">
        <w:rPr>
          <w:i w:val="1"/>
          <w:iCs w:val="1"/>
          <w:highlight w:val="white"/>
          <w:rtl w:val="0"/>
        </w:rPr>
        <w:t xml:space="preserve">i</w:t>
      </w:r>
      <w:r w:rsidDel="00000000" w:rsidR="00000000" w:rsidRPr="00000000">
        <w:rPr>
          <w:highlight w:val="white"/>
          <w:rtl w:val="0"/>
        </w:rPr>
        <w:t xml:space="preserve">ML1515) (</w:t>
      </w:r>
      <w:r w:rsidDel="00000000" w:rsidR="00000000" w:rsidRPr="00000000">
        <w:rPr>
          <w:b w:val="1"/>
          <w:bCs w:val="1"/>
          <w:highlight w:val="white"/>
          <w:rtl w:val="0"/>
        </w:rPr>
        <w:t xml:space="preserve">Fig. 2</w:t>
      </w:r>
      <w:r w:rsidDel="00000000" w:rsidR="00000000" w:rsidRPr="00000000">
        <w:rPr>
          <w:highlight w:val="white"/>
          <w:rtl w:val="0"/>
        </w:rPr>
        <w:t xml:space="preserve">).  Amino acid and fatty acid profiles were determined experimentally. In contrast, nucleic acid profiles were derived from the </w:t>
      </w:r>
      <w:r w:rsidDel="00000000" w:rsidR="00000000" w:rsidRPr="00000000">
        <w:rPr>
          <w:i w:val="1"/>
          <w:iCs w:val="1"/>
          <w:highlight w:val="white"/>
          <w:rtl w:val="0"/>
        </w:rPr>
        <w:t xml:space="preserve">Ax</w:t>
      </w:r>
      <w:r w:rsidDel="00000000" w:rsidR="00000000" w:rsidRPr="00000000">
        <w:rPr>
          <w:highlight w:val="white"/>
          <w:rtl w:val="0"/>
        </w:rPr>
        <w:t xml:space="preserve"> genome. Growth-Associated Maintenance energy (GAM, 75.38 mmol/gDW ATP) and Non-Growth-Associated Maintenance energy (NGAM, 6.86 mmol/gDW ATP) were imported from </w:t>
      </w:r>
      <w:r w:rsidDel="00000000" w:rsidR="00000000" w:rsidRPr="00000000">
        <w:rPr>
          <w:i w:val="1"/>
          <w:iCs w:val="1"/>
          <w:highlight w:val="white"/>
          <w:rtl w:val="0"/>
        </w:rPr>
        <w:t xml:space="preserve">i</w:t>
      </w:r>
      <w:r w:rsidDel="00000000" w:rsidR="00000000" w:rsidRPr="00000000">
        <w:rPr>
          <w:highlight w:val="white"/>
          <w:rtl w:val="0"/>
        </w:rPr>
        <w:t xml:space="preserve">ML1515. The updated BOF was set as the objective function for all the simulations mentioned in this study.</w:t>
      </w:r>
    </w:p>
    <w:p w:rsidR="00000000" w:rsidDel="00000000" w:rsidP="00000000" w:rsidRDefault="00000000" w:rsidRPr="00000000" w14:paraId="00000013">
      <w:pPr>
        <w:shd w:fill="ffffff" w:val="clear"/>
        <w:ind w:firstLine="20"/>
        <w:jc w:val="both"/>
        <w:rPr>
          <w:highlight w:val="white"/>
        </w:rPr>
      </w:pPr>
      <w:r w:rsidDel="00000000" w:rsidR="00000000" w:rsidRPr="00000000">
        <w:rPr>
          <w:highlight w:val="white"/>
          <w:rtl w:val="0"/>
        </w:rPr>
        <w:tab/>
        <w:t xml:space="preserve">To our knowledge, this BOF remains the only characterization of </w:t>
      </w:r>
      <w:r w:rsidDel="00000000" w:rsidR="00000000" w:rsidRPr="00000000">
        <w:rPr>
          <w:i w:val="1"/>
          <w:iCs w:val="1"/>
          <w:highlight w:val="white"/>
          <w:rtl w:val="0"/>
        </w:rPr>
        <w:t xml:space="preserve">Ax</w:t>
      </w:r>
      <w:r w:rsidDel="00000000" w:rsidR="00000000" w:rsidRPr="00000000">
        <w:rPr>
          <w:highlight w:val="white"/>
          <w:rtl w:val="0"/>
        </w:rPr>
        <w:t xml:space="preserve"> biomass composition available.</w:t>
      </w:r>
    </w:p>
    <w:p w:rsidR="00000000" w:rsidDel="00000000" w:rsidP="00000000" w:rsidRDefault="00000000" w:rsidRPr="00000000" w14:paraId="00000014">
      <w:pPr>
        <w:spacing w:line="276" w:lineRule="auto"/>
        <w:ind w:left="0" w:firstLine="0"/>
        <w:jc w:val="both"/>
        <w:rPr>
          <w:b w:val="1"/>
          <w:bCs w:val="1"/>
          <w:highlight w:val="white"/>
        </w:rPr>
      </w:pPr>
      <w:r w:rsidDel="00000000" w:rsidR="00000000" w:rsidRPr="00000000">
        <w:rPr>
          <w:rtl w:val="0"/>
        </w:rPr>
      </w:r>
    </w:p>
    <w:p w:rsidR="00000000" w:rsidDel="00000000" w:rsidP="00000000" w:rsidRDefault="00000000" w:rsidRPr="00000000" w14:paraId="00000015">
      <w:pPr>
        <w:pStyle w:val="Heading4"/>
        <w:shd w:fill="ffffff" w:val="clear"/>
        <w:jc w:val="both"/>
        <w:rPr>
          <w:highlight w:val="white"/>
        </w:rPr>
      </w:pPr>
      <w:bookmarkStart w:colFirst="0" w:colLast="0" w:name="_xxrkl7f9qvha" w:id="7"/>
      <w:bookmarkEnd w:id="7"/>
      <w:r w:rsidDel="00000000" w:rsidR="00000000" w:rsidRPr="00000000">
        <w:rPr>
          <w:rtl w:val="0"/>
        </w:rPr>
        <w:t xml:space="preserve">2.3.2 Genomic and metabolic modeling analyses reveal a persistent nitrification pathway in </w:t>
      </w:r>
      <w:r w:rsidDel="00000000" w:rsidR="00000000" w:rsidRPr="00000000">
        <w:rPr>
          <w:i w:val="1"/>
          <w:iCs w:val="1"/>
          <w:rtl w:val="0"/>
        </w:rPr>
        <w:t xml:space="preserve">Achromobacter xylosoxidans</w:t>
      </w:r>
      <w:r w:rsidDel="00000000" w:rsidR="00000000" w:rsidRPr="00000000">
        <w:rPr>
          <w:rtl w:val="0"/>
        </w:rPr>
        <w:t xml:space="preserve"> regulated by carbon availability</w:t>
      </w:r>
      <w:r w:rsidDel="00000000" w:rsidR="00000000" w:rsidRPr="00000000">
        <w:rPr>
          <w:rtl w:val="0"/>
        </w:rPr>
      </w:r>
    </w:p>
    <w:p w:rsidR="00000000" w:rsidDel="00000000" w:rsidP="00000000" w:rsidRDefault="00000000" w:rsidRPr="00000000" w14:paraId="00000016">
      <w:pPr>
        <w:shd w:fill="ffffff" w:val="clear"/>
        <w:ind w:firstLine="720"/>
        <w:jc w:val="both"/>
        <w:rPr>
          <w:highlight w:val="white"/>
        </w:rPr>
      </w:pPr>
      <w:r w:rsidDel="00000000" w:rsidR="00000000" w:rsidRPr="00000000">
        <w:rPr>
          <w:rtl w:val="0"/>
        </w:rPr>
      </w:r>
    </w:p>
    <w:p w:rsidR="00000000" w:rsidDel="00000000" w:rsidP="00000000" w:rsidRDefault="00000000" w:rsidRPr="00000000" w14:paraId="00000017">
      <w:pPr>
        <w:shd w:fill="ffffff" w:val="clear"/>
        <w:jc w:val="both"/>
        <w:rPr>
          <w:highlight w:val="white"/>
        </w:rPr>
      </w:pPr>
      <w:r w:rsidDel="00000000" w:rsidR="00000000" w:rsidRPr="00000000">
        <w:rPr>
          <w:highlight w:val="white"/>
          <w:rtl w:val="0"/>
        </w:rPr>
        <w:t xml:space="preserve">Several studies have confirmed the ability of </w:t>
      </w:r>
      <w:r w:rsidDel="00000000" w:rsidR="00000000" w:rsidRPr="00000000">
        <w:rPr>
          <w:i w:val="1"/>
          <w:iCs w:val="1"/>
          <w:highlight w:val="white"/>
          <w:rtl w:val="0"/>
        </w:rPr>
        <w:t xml:space="preserve">Ax </w:t>
      </w:r>
      <w:r w:rsidDel="00000000" w:rsidR="00000000" w:rsidRPr="00000000">
        <w:rPr>
          <w:highlight w:val="white"/>
          <w:rtl w:val="0"/>
        </w:rPr>
        <w:t xml:space="preserve">to perform heterotrophic nitrification (8,25). This process consists of the simultaneous generation of energy using an organic carbon source while oxidizing ammonium. However, little is known about the enzymes involved in this process for heterotrophic nitrifiers. Most of the 133 genomes of </w:t>
      </w:r>
      <w:r w:rsidDel="00000000" w:rsidR="00000000" w:rsidRPr="00000000">
        <w:rPr>
          <w:i w:val="1"/>
          <w:iCs w:val="1"/>
          <w:highlight w:val="white"/>
          <w:rtl w:val="0"/>
        </w:rPr>
        <w:t xml:space="preserve">Ax </w:t>
      </w:r>
      <w:r w:rsidDel="00000000" w:rsidR="00000000" w:rsidRPr="00000000">
        <w:rPr>
          <w:highlight w:val="white"/>
          <w:rtl w:val="0"/>
        </w:rPr>
        <w:t xml:space="preserve">strains contained the genes that encode for the enzymes that catalyze the oxidation of NH</w:t>
      </w:r>
      <w:r w:rsidDel="00000000" w:rsidR="00000000" w:rsidRPr="00000000">
        <w:rPr>
          <w:highlight w:val="white"/>
          <w:vertAlign w:val="subscript"/>
          <w:rtl w:val="0"/>
        </w:rPr>
        <w:t xml:space="preserve">4</w:t>
      </w:r>
      <w:r w:rsidDel="00000000" w:rsidR="00000000" w:rsidRPr="00000000">
        <w:rPr>
          <w:highlight w:val="white"/>
          <w:vertAlign w:val="superscript"/>
          <w:rtl w:val="0"/>
        </w:rPr>
        <w:t xml:space="preserve">+</w:t>
      </w:r>
      <w:r w:rsidDel="00000000" w:rsidR="00000000" w:rsidRPr="00000000">
        <w:rPr>
          <w:highlight w:val="white"/>
          <w:rtl w:val="0"/>
        </w:rPr>
        <w:t xml:space="preserve"> to hydroxylamine (Ammonia monooxygenase, AMO) and the oxidation of nitrite to nitrate (Nitrate reductase, NAP) (</w:t>
      </w:r>
      <w:r w:rsidDel="00000000" w:rsidR="00000000" w:rsidRPr="00000000">
        <w:rPr>
          <w:b w:val="1"/>
          <w:bCs w:val="1"/>
          <w:highlight w:val="white"/>
          <w:rtl w:val="0"/>
        </w:rPr>
        <w:t xml:space="preserve">Fig. 4B</w:t>
      </w:r>
      <w:r w:rsidDel="00000000" w:rsidR="00000000" w:rsidRPr="00000000">
        <w:rPr>
          <w:highlight w:val="white"/>
          <w:rtl w:val="0"/>
        </w:rPr>
        <w:t xml:space="preserve">). Nonetheless, there is limited information on the enzymes responsible for oxidizing hydroxylamine (NH₂OH) to nitrite. </w:t>
        <w:tab/>
        <w:t xml:space="preserve">A previous study proposed a nitrification pathway for the heterotrophic nitrifier </w:t>
      </w:r>
      <w:r w:rsidDel="00000000" w:rsidR="00000000" w:rsidRPr="00000000">
        <w:rPr>
          <w:i w:val="1"/>
          <w:iCs w:val="1"/>
          <w:highlight w:val="white"/>
          <w:rtl w:val="0"/>
        </w:rPr>
        <w:t xml:space="preserve">Alcaligenes mmonioxydans </w:t>
      </w:r>
      <w:r w:rsidDel="00000000" w:rsidR="00000000" w:rsidRPr="00000000">
        <w:rPr>
          <w:highlight w:val="white"/>
          <w:rtl w:val="0"/>
        </w:rPr>
        <w:t xml:space="preserve">sp </w:t>
      </w:r>
      <w:hyperlink r:id="rId8">
        <w:r w:rsidDel="00000000" w:rsidR="00000000" w:rsidRPr="00000000">
          <w:rPr>
            <w:rtl w:val="0"/>
          </w:rPr>
          <w:t xml:space="preserve">(3)</w:t>
        </w:r>
      </w:hyperlink>
      <w:r w:rsidDel="00000000" w:rsidR="00000000" w:rsidRPr="00000000">
        <w:rPr>
          <w:highlight w:val="white"/>
          <w:rtl w:val="0"/>
        </w:rPr>
        <w:t xml:space="preserve">. The taxonomy of the genera </w:t>
      </w:r>
      <w:r w:rsidDel="00000000" w:rsidR="00000000" w:rsidRPr="00000000">
        <w:rPr>
          <w:i w:val="1"/>
          <w:iCs w:val="1"/>
          <w:highlight w:val="white"/>
          <w:rtl w:val="0"/>
        </w:rPr>
        <w:t xml:space="preserve">Alcaligenes</w:t>
      </w:r>
      <w:r w:rsidDel="00000000" w:rsidR="00000000" w:rsidRPr="00000000">
        <w:rPr>
          <w:highlight w:val="white"/>
          <w:rtl w:val="0"/>
        </w:rPr>
        <w:t xml:space="preserve"> and </w:t>
      </w:r>
      <w:r w:rsidDel="00000000" w:rsidR="00000000" w:rsidRPr="00000000">
        <w:rPr>
          <w:i w:val="1"/>
          <w:iCs w:val="1"/>
          <w:highlight w:val="white"/>
          <w:rtl w:val="0"/>
        </w:rPr>
        <w:t xml:space="preserve">Achromobacter</w:t>
      </w:r>
      <w:r w:rsidDel="00000000" w:rsidR="00000000" w:rsidRPr="00000000">
        <w:rPr>
          <w:highlight w:val="white"/>
          <w:rtl w:val="0"/>
        </w:rPr>
        <w:t xml:space="preserve"> is closely related, with multiple species historically reassigned between the two genera </w:t>
      </w:r>
      <w:hyperlink r:id="rId9">
        <w:r w:rsidDel="00000000" w:rsidR="00000000" w:rsidRPr="00000000">
          <w:rPr>
            <w:rtl w:val="0"/>
          </w:rPr>
          <w:t xml:space="preserve">(4,5)</w:t>
        </w:r>
      </w:hyperlink>
      <w:r w:rsidDel="00000000" w:rsidR="00000000" w:rsidRPr="00000000">
        <w:rPr>
          <w:highlight w:val="white"/>
          <w:rtl w:val="0"/>
        </w:rPr>
        <w:t xml:space="preserve">. Therefore, </w:t>
      </w:r>
      <w:r w:rsidDel="00000000" w:rsidR="00000000" w:rsidRPr="00000000">
        <w:rPr>
          <w:i w:val="1"/>
          <w:iCs w:val="1"/>
          <w:highlight w:val="white"/>
          <w:rtl w:val="0"/>
        </w:rPr>
        <w:t xml:space="preserve">Alcaligenes ammonioxydans </w:t>
      </w:r>
      <w:r w:rsidDel="00000000" w:rsidR="00000000" w:rsidRPr="00000000">
        <w:rPr>
          <w:highlight w:val="white"/>
          <w:rtl w:val="0"/>
        </w:rPr>
        <w:t xml:space="preserve">sp. can potentially share metabolic capabilities with </w:t>
      </w:r>
      <w:r w:rsidDel="00000000" w:rsidR="00000000" w:rsidRPr="00000000">
        <w:rPr>
          <w:i w:val="1"/>
          <w:iCs w:val="1"/>
          <w:highlight w:val="white"/>
          <w:rtl w:val="0"/>
        </w:rPr>
        <w:t xml:space="preserve">A. xylosoxidans</w:t>
      </w:r>
      <w:r w:rsidDel="00000000" w:rsidR="00000000" w:rsidRPr="00000000">
        <w:rPr>
          <w:highlight w:val="white"/>
          <w:rtl w:val="0"/>
        </w:rPr>
        <w:t xml:space="preserve">. Wu MR et al. (2021) </w:t>
      </w:r>
      <w:hyperlink r:id="rId10">
        <w:r w:rsidDel="00000000" w:rsidR="00000000" w:rsidRPr="00000000">
          <w:rPr>
            <w:rtl w:val="0"/>
          </w:rPr>
          <w:t xml:space="preserve">(3)</w:t>
        </w:r>
      </w:hyperlink>
      <w:r w:rsidDel="00000000" w:rsidR="00000000" w:rsidRPr="00000000">
        <w:rPr>
          <w:highlight w:val="white"/>
          <w:rtl w:val="0"/>
        </w:rPr>
        <w:t xml:space="preserve"> suggested that </w:t>
      </w:r>
      <w:r w:rsidDel="00000000" w:rsidR="00000000" w:rsidRPr="00000000">
        <w:rPr>
          <w:i w:val="1"/>
          <w:iCs w:val="1"/>
          <w:highlight w:val="white"/>
          <w:rtl w:val="0"/>
        </w:rPr>
        <w:t xml:space="preserve">A. ammonioxydans </w:t>
      </w:r>
      <w:r w:rsidDel="00000000" w:rsidR="00000000" w:rsidRPr="00000000">
        <w:rPr>
          <w:highlight w:val="white"/>
          <w:rtl w:val="0"/>
        </w:rPr>
        <w:t xml:space="preserve">condensates hydroxylamine (ham) to pyruvic oxime spontaneously, followed by the oxidation of ham to nitrite via pyruvic oxime dioxygenase (POD) (</w:t>
      </w:r>
      <w:r w:rsidDel="00000000" w:rsidR="00000000" w:rsidRPr="00000000">
        <w:rPr>
          <w:b w:val="1"/>
          <w:bCs w:val="1"/>
          <w:highlight w:val="white"/>
          <w:rtl w:val="0"/>
        </w:rPr>
        <w:t xml:space="preserve">Fig. 4B</w:t>
      </w:r>
      <w:r w:rsidDel="00000000" w:rsidR="00000000" w:rsidRPr="00000000">
        <w:rPr>
          <w:highlight w:val="white"/>
          <w:rtl w:val="0"/>
        </w:rPr>
        <w:t xml:space="preserve">). Therefore, through BLASTp, we first identified in </w:t>
      </w:r>
      <w:r w:rsidDel="00000000" w:rsidR="00000000" w:rsidRPr="00000000">
        <w:rPr>
          <w:i w:val="1"/>
          <w:iCs w:val="1"/>
          <w:highlight w:val="white"/>
          <w:rtl w:val="0"/>
        </w:rPr>
        <w:t xml:space="preserve">A. xylosoxidans</w:t>
      </w:r>
      <w:r w:rsidDel="00000000" w:rsidR="00000000" w:rsidRPr="00000000">
        <w:rPr>
          <w:highlight w:val="white"/>
          <w:rtl w:val="0"/>
        </w:rPr>
        <w:t xml:space="preserve"> G1401 (strain used for iGC1310 reconstruction) a homolog of the POD enzyme from </w:t>
      </w:r>
      <w:r w:rsidDel="00000000" w:rsidR="00000000" w:rsidRPr="00000000">
        <w:rPr>
          <w:i w:val="1"/>
          <w:iCs w:val="1"/>
          <w:highlight w:val="white"/>
          <w:rtl w:val="0"/>
        </w:rPr>
        <w:t xml:space="preserve">A. ammonioxydans</w:t>
      </w:r>
      <w:r w:rsidDel="00000000" w:rsidR="00000000" w:rsidRPr="00000000">
        <w:rPr>
          <w:b w:val="1"/>
          <w:bCs w:val="1"/>
          <w:i w:val="1"/>
          <w:iCs w:val="1"/>
          <w:highlight w:val="white"/>
          <w:rtl w:val="0"/>
        </w:rPr>
        <w:t xml:space="preserve"> </w:t>
      </w:r>
      <w:r w:rsidDel="00000000" w:rsidR="00000000" w:rsidRPr="00000000">
        <w:rPr>
          <w:highlight w:val="white"/>
          <w:rtl w:val="0"/>
        </w:rPr>
        <w:t xml:space="preserve">(</w:t>
      </w:r>
      <w:r w:rsidDel="00000000" w:rsidR="00000000" w:rsidRPr="00000000">
        <w:rPr>
          <w:b w:val="1"/>
          <w:bCs w:val="1"/>
          <w:highlight w:val="white"/>
          <w:rtl w:val="0"/>
        </w:rPr>
        <w:t xml:space="preserve">Table S8</w:t>
      </w:r>
      <w:r w:rsidDel="00000000" w:rsidR="00000000" w:rsidRPr="00000000">
        <w:rPr>
          <w:highlight w:val="white"/>
          <w:rtl w:val="0"/>
        </w:rPr>
        <w:t xml:space="preserve">). This sequence was then used as a query to detect POD across the </w:t>
      </w:r>
      <w:r w:rsidDel="00000000" w:rsidR="00000000" w:rsidRPr="00000000">
        <w:rPr>
          <w:i w:val="1"/>
          <w:iCs w:val="1"/>
          <w:highlight w:val="white"/>
          <w:rtl w:val="0"/>
        </w:rPr>
        <w:t xml:space="preserve">Ax</w:t>
      </w:r>
      <w:r w:rsidDel="00000000" w:rsidR="00000000" w:rsidRPr="00000000">
        <w:rPr>
          <w:highlight w:val="white"/>
          <w:rtl w:val="0"/>
        </w:rPr>
        <w:t xml:space="preserve"> pan-genome. </w:t>
      </w:r>
      <w:r w:rsidDel="00000000" w:rsidR="00000000" w:rsidRPr="00000000">
        <w:rPr>
          <w:b w:val="1"/>
          <w:bCs w:val="1"/>
          <w:highlight w:val="white"/>
          <w:rtl w:val="0"/>
        </w:rPr>
        <w:t xml:space="preserve">Fig. 4A</w:t>
      </w:r>
      <w:r w:rsidDel="00000000" w:rsidR="00000000" w:rsidRPr="00000000">
        <w:rPr>
          <w:highlight w:val="white"/>
          <w:rtl w:val="0"/>
        </w:rPr>
        <w:t xml:space="preserve"> shows that 132 out of 133 </w:t>
      </w:r>
      <w:r w:rsidDel="00000000" w:rsidR="00000000" w:rsidRPr="00000000">
        <w:rPr>
          <w:i w:val="1"/>
          <w:iCs w:val="1"/>
          <w:highlight w:val="white"/>
          <w:rtl w:val="0"/>
        </w:rPr>
        <w:t xml:space="preserve">Ax</w:t>
      </w:r>
      <w:r w:rsidDel="00000000" w:rsidR="00000000" w:rsidRPr="00000000">
        <w:rPr>
          <w:highlight w:val="white"/>
          <w:rtl w:val="0"/>
        </w:rPr>
        <w:t xml:space="preserve"> strains can encode for POD. The presence of all proteins involved in heterotrophic nitrification (AMO, POD, and NAP) in nearly all strains suggests that this pathway has been evolutionarily conserved.</w:t>
      </w:r>
    </w:p>
    <w:p w:rsidR="00000000" w:rsidDel="00000000" w:rsidP="00000000" w:rsidRDefault="00000000" w:rsidRPr="00000000" w14:paraId="00000018">
      <w:pPr>
        <w:shd w:fill="ffffff" w:val="clear"/>
        <w:jc w:val="both"/>
        <w:rPr>
          <w:highlight w:val="white"/>
        </w:rPr>
      </w:pPr>
      <w:r w:rsidDel="00000000" w:rsidR="00000000" w:rsidRPr="00000000">
        <w:rPr>
          <w:highlight w:val="white"/>
          <w:rtl w:val="0"/>
        </w:rPr>
        <w:tab/>
        <w:t xml:space="preserve">In order to understand the conditions that involve the activation/deactivation of heterotrophic nitrification in </w:t>
      </w:r>
      <w:r w:rsidDel="00000000" w:rsidR="00000000" w:rsidRPr="00000000">
        <w:rPr>
          <w:i w:val="1"/>
          <w:iCs w:val="1"/>
          <w:highlight w:val="white"/>
          <w:rtl w:val="0"/>
        </w:rPr>
        <w:t xml:space="preserve">Ax</w:t>
      </w:r>
      <w:r w:rsidDel="00000000" w:rsidR="00000000" w:rsidRPr="00000000">
        <w:rPr>
          <w:highlight w:val="white"/>
          <w:rtl w:val="0"/>
        </w:rPr>
        <w:t xml:space="preserve">, we manually added to the </w:t>
      </w:r>
      <w:r w:rsidDel="00000000" w:rsidR="00000000" w:rsidRPr="00000000">
        <w:rPr>
          <w:i w:val="1"/>
          <w:iCs w:val="1"/>
          <w:highlight w:val="white"/>
          <w:rtl w:val="0"/>
        </w:rPr>
        <w:t xml:space="preserve">i</w:t>
      </w:r>
      <w:r w:rsidDel="00000000" w:rsidR="00000000" w:rsidRPr="00000000">
        <w:rPr>
          <w:highlight w:val="white"/>
          <w:rtl w:val="0"/>
        </w:rPr>
        <w:t xml:space="preserve">GC13101 model all the biochemical reactions associated with the nitrifying enzymes. The proposed pathway of heterotrophic nitrification in </w:t>
      </w:r>
      <w:r w:rsidDel="00000000" w:rsidR="00000000" w:rsidRPr="00000000">
        <w:rPr>
          <w:i w:val="1"/>
          <w:iCs w:val="1"/>
          <w:highlight w:val="white"/>
          <w:rtl w:val="0"/>
        </w:rPr>
        <w:t xml:space="preserve">A. xylosoxidans </w:t>
      </w:r>
      <w:r w:rsidDel="00000000" w:rsidR="00000000" w:rsidRPr="00000000">
        <w:rPr>
          <w:highlight w:val="white"/>
          <w:rtl w:val="0"/>
        </w:rPr>
        <w:t xml:space="preserve">is described in </w:t>
      </w:r>
      <w:r w:rsidDel="00000000" w:rsidR="00000000" w:rsidRPr="00000000">
        <w:rPr>
          <w:b w:val="1"/>
          <w:bCs w:val="1"/>
          <w:highlight w:val="white"/>
          <w:rtl w:val="0"/>
        </w:rPr>
        <w:t xml:space="preserve">Fig. 4B</w:t>
      </w:r>
      <w:r w:rsidDel="00000000" w:rsidR="00000000" w:rsidRPr="00000000">
        <w:rPr>
          <w:highlight w:val="white"/>
          <w:rtl w:val="0"/>
        </w:rPr>
        <w:t xml:space="preserve">.</w:t>
      </w:r>
    </w:p>
    <w:p w:rsidR="00000000" w:rsidDel="00000000" w:rsidP="00000000" w:rsidRDefault="00000000" w:rsidRPr="00000000" w14:paraId="00000019">
      <w:pPr>
        <w:shd w:fill="ffffff" w:val="clear"/>
        <w:ind w:firstLine="20"/>
        <w:jc w:val="both"/>
        <w:rPr>
          <w:highlight w:val="white"/>
        </w:rPr>
      </w:pPr>
      <w:r w:rsidDel="00000000" w:rsidR="00000000" w:rsidRPr="00000000">
        <w:rPr>
          <w:highlight w:val="white"/>
          <w:rtl w:val="0"/>
        </w:rPr>
        <w:tab/>
        <w:t xml:space="preserve">To elucidate how </w:t>
      </w:r>
      <w:r w:rsidDel="00000000" w:rsidR="00000000" w:rsidRPr="00000000">
        <w:rPr>
          <w:i w:val="1"/>
          <w:iCs w:val="1"/>
          <w:highlight w:val="white"/>
          <w:rtl w:val="0"/>
        </w:rPr>
        <w:t xml:space="preserve">Ax</w:t>
      </w:r>
      <w:r w:rsidDel="00000000" w:rsidR="00000000" w:rsidRPr="00000000">
        <w:rPr>
          <w:highlight w:val="white"/>
          <w:rtl w:val="0"/>
        </w:rPr>
        <w:t xml:space="preserve"> activates the nitrification pathway, we performed robustness analysis simulations using low and high succinate uptake rates (0-4 mmol/g DW/h), which can be correlated with low and high concentrations (</w:t>
      </w:r>
      <w:r w:rsidDel="00000000" w:rsidR="00000000" w:rsidRPr="00000000">
        <w:rPr>
          <w:b w:val="1"/>
          <w:bCs w:val="1"/>
          <w:highlight w:val="white"/>
          <w:rtl w:val="0"/>
        </w:rPr>
        <w:t xml:space="preserve">Fig. 4B</w:t>
      </w:r>
      <w:r w:rsidDel="00000000" w:rsidR="00000000" w:rsidRPr="00000000">
        <w:rPr>
          <w:highlight w:val="white"/>
          <w:rtl w:val="0"/>
        </w:rPr>
        <w:t xml:space="preserve">). The </w:t>
      </w:r>
      <w:r w:rsidDel="00000000" w:rsidR="00000000" w:rsidRPr="00000000">
        <w:rPr>
          <w:i w:val="1"/>
          <w:iCs w:val="1"/>
          <w:highlight w:val="white"/>
          <w:rtl w:val="0"/>
        </w:rPr>
        <w:t xml:space="preserve">i</w:t>
      </w:r>
      <w:r w:rsidDel="00000000" w:rsidR="00000000" w:rsidRPr="00000000">
        <w:rPr>
          <w:highlight w:val="white"/>
          <w:rtl w:val="0"/>
        </w:rPr>
        <w:t xml:space="preserve">GC1310 model was constrained in minimal medium with NH</w:t>
      </w:r>
      <w:r w:rsidDel="00000000" w:rsidR="00000000" w:rsidRPr="00000000">
        <w:rPr>
          <w:highlight w:val="white"/>
          <w:vertAlign w:val="subscript"/>
          <w:rtl w:val="0"/>
        </w:rPr>
        <w:t xml:space="preserve">4</w:t>
      </w:r>
      <w:r w:rsidDel="00000000" w:rsidR="00000000" w:rsidRPr="00000000">
        <w:rPr>
          <w:highlight w:val="white"/>
          <w:vertAlign w:val="superscript"/>
          <w:rtl w:val="0"/>
        </w:rPr>
        <w:t xml:space="preserve">+</w:t>
      </w:r>
      <w:r w:rsidDel="00000000" w:rsidR="00000000" w:rsidRPr="00000000">
        <w:rPr>
          <w:highlight w:val="white"/>
          <w:rtl w:val="0"/>
        </w:rPr>
        <w:t xml:space="preserve"> uptake rate fixed at 1 mmol/g DW/h. </w:t>
      </w:r>
      <w:r w:rsidDel="00000000" w:rsidR="00000000" w:rsidRPr="00000000">
        <w:rPr>
          <w:b w:val="1"/>
          <w:bCs w:val="1"/>
          <w:highlight w:val="white"/>
          <w:rtl w:val="0"/>
        </w:rPr>
        <w:t xml:space="preserve">Fig. 4B </w:t>
      </w:r>
      <w:r w:rsidDel="00000000" w:rsidR="00000000" w:rsidRPr="00000000">
        <w:rPr>
          <w:highlight w:val="white"/>
          <w:rtl w:val="0"/>
        </w:rPr>
        <w:t xml:space="preserve">shows that at low succinate uptake rates (~0.5 - ~2.5 mmol/gDW/h), the nitrifying enzymes are active. Ammonium is consumed and oxidized to hydroxylamine (NH</w:t>
      </w:r>
      <w:r w:rsidDel="00000000" w:rsidR="00000000" w:rsidRPr="00000000">
        <w:rPr>
          <w:highlight w:val="white"/>
          <w:vertAlign w:val="subscript"/>
          <w:rtl w:val="0"/>
        </w:rPr>
        <w:t xml:space="preserve">2</w:t>
      </w:r>
      <w:r w:rsidDel="00000000" w:rsidR="00000000" w:rsidRPr="00000000">
        <w:rPr>
          <w:highlight w:val="white"/>
          <w:rtl w:val="0"/>
        </w:rPr>
        <w:t xml:space="preserve">OH) by the catalysis of AMO, followed by a spontaneous condensation reaction between hydroxylamine and pyruvate, which produces pyruvic oxime. Subsequently, pyruvic oxime is oxidized to nitrite through POD, which is further oxidized to nitrate by NAP. The ubiquinol (QH</w:t>
      </w:r>
      <w:r w:rsidDel="00000000" w:rsidR="00000000" w:rsidRPr="00000000">
        <w:rPr>
          <w:highlight w:val="white"/>
          <w:vertAlign w:val="subscript"/>
          <w:rtl w:val="0"/>
        </w:rPr>
        <w:t xml:space="preserve">2</w:t>
      </w:r>
      <w:r w:rsidDel="00000000" w:rsidR="00000000" w:rsidRPr="00000000">
        <w:rPr>
          <w:highlight w:val="white"/>
          <w:rtl w:val="0"/>
        </w:rPr>
        <w:t xml:space="preserve">) generated during the nitrification is used by the cytochrome bc1 complex (complex III) to reduce a molecule of cytochrome c that is further utilized by the terminal oxidase (cytochrome c oxidase, COX) to reduce oxygen (final electron acceptor) to water. This process generates a proton gradient between the cytoplasm and the periplasm, which induces the production of ATP by ATP synthase. </w:t>
      </w:r>
    </w:p>
    <w:p w:rsidR="00000000" w:rsidDel="00000000" w:rsidP="00000000" w:rsidRDefault="00000000" w:rsidRPr="00000000" w14:paraId="0000001A">
      <w:pPr>
        <w:shd w:fill="ffffff" w:val="clear"/>
        <w:ind w:firstLine="20"/>
        <w:jc w:val="both"/>
        <w:rPr>
          <w:highlight w:val="white"/>
        </w:rPr>
      </w:pPr>
      <w:r w:rsidDel="00000000" w:rsidR="00000000" w:rsidRPr="00000000">
        <w:rPr>
          <w:highlight w:val="white"/>
          <w:rtl w:val="0"/>
        </w:rPr>
        <w:tab/>
        <w:t xml:space="preserve">However, under higher succinate uptake rates (~2.5-4 mmol/g DW/h), the simulations predicted that the nitrification pathway is completely deactivated. The succinate dehydrogenase, which is coupled with the TCA cycle, produces all the ubiquinol required by complex III and COX. The activity of these last two reactions generates the proton motive force needed for the synthesis of ATP. </w:t>
      </w:r>
    </w:p>
    <w:p w:rsidR="00000000" w:rsidDel="00000000" w:rsidP="00000000" w:rsidRDefault="00000000" w:rsidRPr="00000000" w14:paraId="0000001B">
      <w:pPr>
        <w:shd w:fill="ffffff" w:val="clear"/>
        <w:ind w:firstLine="720"/>
        <w:jc w:val="both"/>
        <w:rPr>
          <w:color w:val="222222"/>
          <w:highlight w:val="white"/>
        </w:rPr>
      </w:pPr>
      <w:r w:rsidDel="00000000" w:rsidR="00000000" w:rsidRPr="00000000">
        <w:rPr>
          <w:highlight w:val="white"/>
          <w:rtl w:val="0"/>
        </w:rPr>
        <w:t xml:space="preserve">Therefore, we experimentally measured nitrification activity in the </w:t>
      </w:r>
      <w:r w:rsidDel="00000000" w:rsidR="00000000" w:rsidRPr="00000000">
        <w:rPr>
          <w:i w:val="1"/>
          <w:iCs w:val="1"/>
          <w:highlight w:val="white"/>
          <w:rtl w:val="0"/>
        </w:rPr>
        <w:t xml:space="preserve">Ax</w:t>
      </w:r>
      <w:r w:rsidDel="00000000" w:rsidR="00000000" w:rsidRPr="00000000">
        <w:rPr>
          <w:highlight w:val="white"/>
          <w:rtl w:val="0"/>
        </w:rPr>
        <w:t xml:space="preserve"> strains isolated from CF patients, G1401 (the strain used for </w:t>
      </w:r>
      <w:r w:rsidDel="00000000" w:rsidR="00000000" w:rsidRPr="00000000">
        <w:rPr>
          <w:i w:val="1"/>
          <w:iCs w:val="1"/>
          <w:highlight w:val="white"/>
          <w:rtl w:val="0"/>
        </w:rPr>
        <w:t xml:space="preserve">i</w:t>
      </w:r>
      <w:r w:rsidDel="00000000" w:rsidR="00000000" w:rsidRPr="00000000">
        <w:rPr>
          <w:highlight w:val="white"/>
          <w:rtl w:val="0"/>
        </w:rPr>
        <w:t xml:space="preserve">GC1310 modeling), </w:t>
      </w:r>
      <w:r w:rsidDel="00000000" w:rsidR="00000000" w:rsidRPr="00000000">
        <w:rPr>
          <w:rtl w:val="0"/>
        </w:rPr>
        <w:t xml:space="preserve">G1324, and G1394</w:t>
      </w:r>
      <w:r w:rsidDel="00000000" w:rsidR="00000000" w:rsidRPr="00000000">
        <w:rPr>
          <w:b w:val="1"/>
          <w:bCs w:val="1"/>
          <w:rtl w:val="0"/>
        </w:rPr>
        <w:t xml:space="preserve">.</w:t>
      </w:r>
      <w:r w:rsidDel="00000000" w:rsidR="00000000" w:rsidRPr="00000000">
        <w:rPr>
          <w:highlight w:val="white"/>
          <w:rtl w:val="0"/>
        </w:rPr>
        <w:t xml:space="preserve"> All these strains contained the enzymes involved in the nitrification process. We cultured the isolates in minimal media supplemented with ammonium chloride (1 g/L) and succinate (2.81 g/L). Triplicate cultures of </w:t>
      </w:r>
      <w:r w:rsidDel="00000000" w:rsidR="00000000" w:rsidRPr="00000000">
        <w:rPr>
          <w:i w:val="1"/>
          <w:iCs w:val="1"/>
          <w:highlight w:val="white"/>
          <w:rtl w:val="0"/>
        </w:rPr>
        <w:t xml:space="preserve">Ax</w:t>
      </w:r>
      <w:r w:rsidDel="00000000" w:rsidR="00000000" w:rsidRPr="00000000">
        <w:rPr>
          <w:highlight w:val="white"/>
          <w:rtl w:val="0"/>
        </w:rPr>
        <w:t xml:space="preserve"> (200 mL each, initial OD600 of 0.1) were incubated at 37°C and shaken at 80 rpm for 181 hrs. Samples were taken every 18 h. and OD600, as well as ammonium nitrogen, nitrite, and protein concentrations, were determined</w:t>
      </w:r>
      <w:r w:rsidDel="00000000" w:rsidR="00000000" w:rsidRPr="00000000">
        <w:rPr>
          <w:color w:val="222222"/>
          <w:highlight w:val="white"/>
          <w:rtl w:val="0"/>
        </w:rPr>
        <w:t xml:space="preserve">. </w:t>
      </w:r>
    </w:p>
    <w:p w:rsidR="00000000" w:rsidDel="00000000" w:rsidP="00000000" w:rsidRDefault="00000000" w:rsidRPr="00000000" w14:paraId="0000001C">
      <w:pPr>
        <w:shd w:fill="ffffff" w:val="clear"/>
        <w:ind w:firstLine="20"/>
        <w:jc w:val="both"/>
        <w:rPr>
          <w:highlight w:val="white"/>
        </w:rPr>
      </w:pPr>
      <w:r w:rsidDel="00000000" w:rsidR="00000000" w:rsidRPr="00000000">
        <w:rPr>
          <w:color w:val="222222"/>
          <w:highlight w:val="white"/>
          <w:rtl w:val="0"/>
        </w:rPr>
        <w:t xml:space="preserve">          As shown in </w:t>
      </w:r>
      <w:r w:rsidDel="00000000" w:rsidR="00000000" w:rsidRPr="00000000">
        <w:rPr>
          <w:b w:val="1"/>
          <w:bCs w:val="1"/>
          <w:color w:val="222222"/>
          <w:highlight w:val="white"/>
          <w:rtl w:val="0"/>
        </w:rPr>
        <w:t xml:space="preserve">Fig. 4C and Fig. S1</w:t>
      </w:r>
      <w:r w:rsidDel="00000000" w:rsidR="00000000" w:rsidRPr="00000000">
        <w:rPr>
          <w:color w:val="222222"/>
          <w:highlight w:val="white"/>
          <w:rtl w:val="0"/>
        </w:rPr>
        <w:t xml:space="preserve">, all </w:t>
      </w:r>
      <w:r w:rsidDel="00000000" w:rsidR="00000000" w:rsidRPr="00000000">
        <w:rPr>
          <w:i w:val="1"/>
          <w:iCs w:val="1"/>
          <w:color w:val="222222"/>
          <w:highlight w:val="white"/>
          <w:rtl w:val="0"/>
        </w:rPr>
        <w:t xml:space="preserve">Ax</w:t>
      </w:r>
      <w:r w:rsidDel="00000000" w:rsidR="00000000" w:rsidRPr="00000000">
        <w:rPr>
          <w:color w:val="222222"/>
          <w:highlight w:val="white"/>
          <w:rtl w:val="0"/>
        </w:rPr>
        <w:t xml:space="preserve"> strains consumed NH₄⁺ during the first 24 hours, which coincides with an increase in both cell density (OD</w:t>
      </w:r>
      <w:r w:rsidDel="00000000" w:rsidR="00000000" w:rsidRPr="00000000">
        <w:rPr>
          <w:color w:val="222222"/>
          <w:highlight w:val="white"/>
          <w:vertAlign w:val="subscript"/>
          <w:rtl w:val="0"/>
        </w:rPr>
        <w:t xml:space="preserve">600</w:t>
      </w:r>
      <w:r w:rsidDel="00000000" w:rsidR="00000000" w:rsidRPr="00000000">
        <w:rPr>
          <w:color w:val="222222"/>
          <w:highlight w:val="white"/>
          <w:rtl w:val="0"/>
        </w:rPr>
        <w:t xml:space="preserve">) and protein concentration. After 24 hours, cell density and protein production plateau, indicating the onset of the stationary phase. Notably, nitrite, a key metabolite in the nitrification process, begins accumulating after 24 hours. </w:t>
      </w:r>
      <w:r w:rsidDel="00000000" w:rsidR="00000000" w:rsidRPr="00000000">
        <w:rPr>
          <w:highlight w:val="white"/>
          <w:rtl w:val="0"/>
        </w:rPr>
        <w:t xml:space="preserve">These organisms were able to start the production of nitrite (and therefore the start of the nitrification process) just after the exponential phase. Since the stationary phase is usually related to the lack of a carbon source (30), we suggest that nitrification is active when the concentration of succinate is limited, which agrees with the simulation results (</w:t>
      </w:r>
      <w:r w:rsidDel="00000000" w:rsidR="00000000" w:rsidRPr="00000000">
        <w:rPr>
          <w:b w:val="1"/>
          <w:bCs w:val="1"/>
          <w:highlight w:val="white"/>
          <w:rtl w:val="0"/>
        </w:rPr>
        <w:t xml:space="preserve">Fig. 4B</w:t>
      </w:r>
      <w:r w:rsidDel="00000000" w:rsidR="00000000" w:rsidRPr="00000000">
        <w:rPr>
          <w:highlight w:val="white"/>
          <w:rtl w:val="0"/>
        </w:rPr>
        <w:t xml:space="preserve">). Hence, we were able to link the nitrification with the availability of carbon in the culture medium. The simulation results may indicate a shift to an alternative method of energy production through nitrification. This process allows the cell to maintain redox balance and generate ATP under carbon-limited conditions.</w:t>
      </w:r>
    </w:p>
    <w:p w:rsidR="00000000" w:rsidDel="00000000" w:rsidP="00000000" w:rsidRDefault="00000000" w:rsidRPr="00000000" w14:paraId="0000001D">
      <w:pPr>
        <w:shd w:fill="ffffff" w:val="clear"/>
        <w:ind w:firstLine="720"/>
        <w:jc w:val="both"/>
        <w:rPr>
          <w:highlight w:val="whit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11">
        <w:r w:rsidDel="00000000" w:rsidR="00000000" w:rsidRPr="00000000">
          <w:rPr>
            <w:rtl w:val="0"/>
          </w:rPr>
          <w:t xml:space="preserve">1.</w:t>
        </w:r>
      </w:hyperlink>
      <w:r w:rsidDel="00000000" w:rsidR="00000000" w:rsidRPr="00000000">
        <w:rPr>
          <w:rtl w:val="0"/>
        </w:rPr>
        <w:tab/>
      </w:r>
      <w:hyperlink r:id="rId12">
        <w:r w:rsidDel="00000000" w:rsidR="00000000" w:rsidRPr="00000000">
          <w:rPr>
            <w:rtl w:val="0"/>
          </w:rPr>
          <w:t xml:space="preserve">Feist AM, Palsson BO. The biomass objective function. Curr Opin Microbiol. 2010 Jun 1;13(3):344–9. </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13">
        <w:r w:rsidDel="00000000" w:rsidR="00000000" w:rsidRPr="00000000">
          <w:rPr>
            <w:rtl w:val="0"/>
          </w:rPr>
          <w:t xml:space="preserve">2.</w:t>
        </w:r>
      </w:hyperlink>
      <w:r w:rsidDel="00000000" w:rsidR="00000000" w:rsidRPr="00000000">
        <w:rPr>
          <w:rtl w:val="0"/>
        </w:rPr>
        <w:tab/>
      </w:r>
      <w:hyperlink r:id="rId14">
        <w:r w:rsidDel="00000000" w:rsidR="00000000" w:rsidRPr="00000000">
          <w:rPr>
            <w:rtl w:val="0"/>
          </w:rPr>
          <w:t xml:space="preserve">Simensen V, Schulz C, Karlsen E, Bråtelund S, Burgos I, Thorfinnsdottir LB, et al. Experimental determination of Escherichia coli biomass composition for constraint-based metabolic modeling. PLOS ONE. 2022 Jan 27;17(1):e0262450. </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15">
        <w:r w:rsidDel="00000000" w:rsidR="00000000" w:rsidRPr="00000000">
          <w:rPr>
            <w:rtl w:val="0"/>
          </w:rPr>
          <w:t xml:space="preserve">3.</w:t>
        </w:r>
      </w:hyperlink>
      <w:r w:rsidDel="00000000" w:rsidR="00000000" w:rsidRPr="00000000">
        <w:rPr>
          <w:rtl w:val="0"/>
        </w:rPr>
        <w:tab/>
      </w:r>
      <w:hyperlink r:id="rId16">
        <w:r w:rsidDel="00000000" w:rsidR="00000000" w:rsidRPr="00000000">
          <w:rPr>
            <w:rtl w:val="0"/>
          </w:rPr>
          <w:t xml:space="preserve">Wu MR, Hou TT, Liu Y, Miao LL, Ai GM, Ma L, et al. Novel Alcaligenes ammonioxydans sp. nov. from wastewater treatment sludge oxidizes ammonia to N2 with a previously unknown pathway. Environ Microbiol. 2021 Nov;23(11):6965–80. </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17">
        <w:r w:rsidDel="00000000" w:rsidR="00000000" w:rsidRPr="00000000">
          <w:rPr>
            <w:rtl w:val="0"/>
          </w:rPr>
          <w:t xml:space="preserve">4.</w:t>
        </w:r>
      </w:hyperlink>
      <w:r w:rsidDel="00000000" w:rsidR="00000000" w:rsidRPr="00000000">
        <w:rPr>
          <w:rtl w:val="0"/>
        </w:rPr>
        <w:tab/>
      </w:r>
      <w:hyperlink r:id="rId18">
        <w:r w:rsidDel="00000000" w:rsidR="00000000" w:rsidRPr="00000000">
          <w:rPr>
            <w:rtl w:val="0"/>
          </w:rPr>
          <w:t xml:space="preserve">Yabuuchi E, Kawamura Y, Kosako Y, Ezaki T. Emendation of Genus Achromobacter and Achromobacter xylosoxidans (Yabuuchi and Yano) and Proposal of Achromobacter ruhlandii (Packer and Vishniac) Comb. Nov., Achromobacter piechaudii (Kiredjian et al.) Comb. Nov., and Achromobacter xylosoxidans Subsp. denitrificans (Rüger and Tan) Comb. Nov. Microbiol Immunol. 1998;42(6):429–38. </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19">
        <w:r w:rsidDel="00000000" w:rsidR="00000000" w:rsidRPr="00000000">
          <w:rPr>
            <w:rtl w:val="0"/>
          </w:rPr>
          <w:t xml:space="preserve">5.</w:t>
        </w:r>
      </w:hyperlink>
      <w:r w:rsidDel="00000000" w:rsidR="00000000" w:rsidRPr="00000000">
        <w:rPr>
          <w:rtl w:val="0"/>
        </w:rPr>
        <w:tab/>
      </w:r>
      <w:hyperlink r:id="rId20">
        <w:r w:rsidDel="00000000" w:rsidR="00000000" w:rsidRPr="00000000">
          <w:rPr>
            <w:rtl w:val="0"/>
          </w:rPr>
          <w:t xml:space="preserve">Gomila M, Prince-Manzano C, Svensson-Stadler L, Busquets A, Erhard M, Martínez DL, et al. Genotypic and Phenotypic Applications for the Differentiation and Species-Level Identification of Achromobacter for Clinical Diagnoses. PLOS ONE. 2014 Dec 4;9(12):e114356. </w:t>
        </w:r>
      </w:hyperlink>
      <w:r w:rsidDel="00000000" w:rsidR="00000000" w:rsidRPr="00000000">
        <w:rPr>
          <w:rtl w:val="0"/>
        </w:rPr>
      </w:r>
    </w:p>
    <w:sectPr>
      <w:footerReference r:id="rId2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zotero.org/google-docs/?YSfiEr" TargetMode="External"/><Relationship Id="rId11" Type="http://schemas.openxmlformats.org/officeDocument/2006/relationships/hyperlink" Target="https://www.zotero.org/google-docs/?YSfiEr" TargetMode="External"/><Relationship Id="rId10" Type="http://schemas.openxmlformats.org/officeDocument/2006/relationships/hyperlink" Target="https://www.zotero.org/google-docs/?kDwcIH" TargetMode="External"/><Relationship Id="rId21" Type="http://schemas.openxmlformats.org/officeDocument/2006/relationships/footer" Target="footer1.xml"/><Relationship Id="rId13" Type="http://schemas.openxmlformats.org/officeDocument/2006/relationships/hyperlink" Target="https://www.zotero.org/google-docs/?YSfiEr" TargetMode="External"/><Relationship Id="rId12" Type="http://schemas.openxmlformats.org/officeDocument/2006/relationships/hyperlink" Target="https://www.zotero.org/google-docs/?YSfi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otero.org/google-docs/?5xekez" TargetMode="External"/><Relationship Id="rId15" Type="http://schemas.openxmlformats.org/officeDocument/2006/relationships/hyperlink" Target="https://www.zotero.org/google-docs/?YSfiEr" TargetMode="External"/><Relationship Id="rId14" Type="http://schemas.openxmlformats.org/officeDocument/2006/relationships/hyperlink" Target="https://www.zotero.org/google-docs/?YSfiEr" TargetMode="External"/><Relationship Id="rId17" Type="http://schemas.openxmlformats.org/officeDocument/2006/relationships/hyperlink" Target="https://www.zotero.org/google-docs/?YSfiEr" TargetMode="External"/><Relationship Id="rId16" Type="http://schemas.openxmlformats.org/officeDocument/2006/relationships/hyperlink" Target="https://www.zotero.org/google-docs/?YSfiEr" TargetMode="External"/><Relationship Id="rId5" Type="http://schemas.openxmlformats.org/officeDocument/2006/relationships/styles" Target="styles.xml"/><Relationship Id="rId19" Type="http://schemas.openxmlformats.org/officeDocument/2006/relationships/hyperlink" Target="https://www.zotero.org/google-docs/?YSfiEr" TargetMode="External"/><Relationship Id="rId6" Type="http://schemas.openxmlformats.org/officeDocument/2006/relationships/hyperlink" Target="https://www.zotero.org/google-docs/?oG2bBc" TargetMode="External"/><Relationship Id="rId18" Type="http://schemas.openxmlformats.org/officeDocument/2006/relationships/hyperlink" Target="https://www.zotero.org/google-docs/?YSfiEr" TargetMode="External"/><Relationship Id="rId7" Type="http://schemas.openxmlformats.org/officeDocument/2006/relationships/hyperlink" Target="https://www.zotero.org/google-docs/?DJfEvW" TargetMode="External"/><Relationship Id="rId8" Type="http://schemas.openxmlformats.org/officeDocument/2006/relationships/hyperlink" Target="https://www.zotero.org/google-docs/?RoLBw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