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8C6E"/>
          <w:sz w:val="72"/>
          <w:szCs w:val="72"/>
        </w:rPr>
        <w:t xml:space="preserve">MesoLab Pro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A6572"/>
          <w:sz w:val="28"/>
          <w:szCs w:val="28"/>
        </w:rPr>
        <w:t xml:space="preserve">Brand &amp; Product Brief — MVP Tienda Virtual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Bogotá, Colombia · 2025</w:t>
      </w:r>
    </w:p>
    <w:p>
      <w:pPr>
        <w:pBdr>
          <w:bottom w:val="single" w:color="1A8C6E" w:sz="8" w:space="1"/>
        </w:pBd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8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8C6E"/>
          <w:sz w:val="26"/>
          <w:szCs w:val="26"/>
        </w:rPr>
        <w:t xml:space="preserve">1. Concepto de Marca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Nombre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MesoLab Pro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Tagline sugerido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Ciencia en cada ampolleta.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A6572"/>
          <w:sz w:val="22"/>
          <w:szCs w:val="22"/>
        </w:rPr>
        <w:t xml:space="preserve">Alternativas: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Precisión clínica para profesionales.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Insumos de calidad. Resultados reales.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 laboratorio, tu resultado.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Posicionamiento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MesoLab Pro es el proveedor de referencia para profesionales de la estética y la medicina estética en Colombia. Ofrecemos insumos de mesoterapia certificados, con trazabilidad, presentaciones profesionales y entrega confiable. No vendemos productos: vendemos la tranquilidad de trabajar con calidad verificada.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Arquetipo de Marca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Experto + El Científico. Marca que inspira autoridad técnica y confianza clínica, sin perder calidez con el cliente profesional.</w:t>
      </w:r>
    </w:p>
    <w:p>
      <w:pPr>
        <w:pStyle w:val="Heading2"/>
        <w:pBdr>
          <w:bottom w:val="single" w:color="1A8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8C6E"/>
          <w:sz w:val="26"/>
          <w:szCs w:val="26"/>
        </w:rPr>
        <w:t xml:space="preserve">2. Identidad Visual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Paleta de Colores</w:t>
      </w:r>
    </w:p>
    <w:p>
      <w:pPr>
        <w:spacing w:before="120" w:after="12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MUESTRA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572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572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572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Verde Clínico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20"/>
                <w:szCs w:val="20"/>
              </w:rPr>
              <w:t xml:space="preserve">#1A8C6E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Color principal — botones, CTAs, logo, títulos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Azul Noche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20"/>
                <w:szCs w:val="20"/>
              </w:rPr>
              <w:t xml:space="preserve">#0D1B2A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Fondos premium, texto principal, headers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Verde Suave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20"/>
                <w:szCs w:val="20"/>
              </w:rPr>
              <w:t xml:space="preserve">#E8F5F1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Fondos de sección, highlights de producto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5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Gris Pizarra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20"/>
                <w:szCs w:val="20"/>
              </w:rPr>
              <w:t xml:space="preserve">#4A6572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Texto secundario, etiquetas, descripciones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Blanco Clínico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20"/>
                <w:szCs w:val="20"/>
              </w:rPr>
              <w:t xml:space="preserve">#FFFFFF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Fondo base de la tienda, tarjetas de producto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Gris Claro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20"/>
                <w:szCs w:val="20"/>
              </w:rPr>
              <w:t xml:space="preserve">#F5F5F5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Fondos alternativos, separadores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</w:rPr>
        <w:t xml:space="preserve"> 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Fuente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Títulos / Logo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6E"/>
                <w:sz w:val="21"/>
                <w:szCs w:val="21"/>
              </w:rPr>
              <w:t xml:space="preserve">Inter o DM Sans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Moderna, limpia, muy legible. Google Fonts gratis.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Cuerpo de 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6E"/>
                <w:sz w:val="21"/>
                <w:szCs w:val="21"/>
              </w:rPr>
              <w:t xml:space="preserve">Inter Regular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Consistencia visual con el título. Un solo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Etiquetas técnicas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6E"/>
                <w:sz w:val="21"/>
                <w:szCs w:val="21"/>
              </w:rPr>
              <w:t xml:space="preserve">Space Grotesk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datos técnicos, concentraciones, ml. Da tono científico.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Concepto de Logo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logo debe combinar un ícono minimalista (sugerido: una ampolleta estilizada o una molécula simplificada) con el wordmark 'MesoLab Pro'. El wordmark lleva 'Meso' en peso regular y 'Lab Pro' en bold con el color verde clínico como acento. El resultado debe verse bien tanto en blanco como en fondo oscuro.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A6572"/>
          <w:sz w:val="22"/>
          <w:szCs w:val="22"/>
        </w:rPr>
        <w:t xml:space="preserve">Prompt sugerido para Midjourney o Firefly:</w:t>
      </w:r>
    </w:p>
    <w:p>
      <w:pPr>
        <w:pBdr>
          <w:left w:val="single" w:color="1A8C6E" w:sz="12" w:space="8"/>
        </w:pBdr>
        <w:shd w:fill="F0F7F4" w:val="clear"/>
        <w:spacing w:before="100" w:after="1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"Minimal medical logo, clean ampule vial icon, dark navy and emerald green palette, professional pharmaceutical brand, white background, vector style, no text"</w:t>
      </w:r>
    </w:p>
    <w:p>
      <w:pPr>
        <w:pStyle w:val="Heading2"/>
        <w:pBdr>
          <w:bottom w:val="single" w:color="1A8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8C6E"/>
          <w:sz w:val="26"/>
          <w:szCs w:val="26"/>
        </w:rPr>
        <w:t xml:space="preserve">3. Catálogo de Productos MVP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productos base con 2 presentaciones cada uno (unidad mínima y caja cerrada). Precios por confirmar con la proveedora.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 caja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L-Carnitina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Ampolleta 5ml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10ml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Lipolítico / Reductor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Triac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Ampolleta 5ml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10ml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Lipolítico / Tiroideo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Alcachofa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Ampolleta 5ml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10ml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Drenaje / Detox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Silicio Orgánico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Ampolleta 5ml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10ml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Anticelulítico / Firmeza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TR7 (Cóctel)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Ampolleta 5ml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10ml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Lipolítico Combinado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Complejo B (CB)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Ampolleta 5ml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Caja x10 / x25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Vitamínico / Complemento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Vitamina C (VC)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20ml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Caja cerrada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Vitamínico / Antioxidante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Procaína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Frasco 20ml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Caja cerrada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8C6E"/>
                <w:sz w:val="20"/>
                <w:szCs w:val="20"/>
              </w:rPr>
              <w:t xml:space="preserve">Anestésico / Base</w:t>
            </w:r>
          </w:p>
        </w:tc>
      </w:tr>
    </w:tbl>
    <w:p>
      <w:pPr>
        <w:pStyle w:val="Heading2"/>
        <w:pBdr>
          <w:bottom w:val="single" w:color="1A8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8C6E"/>
          <w:sz w:val="26"/>
          <w:szCs w:val="26"/>
        </w:rPr>
        <w:t xml:space="preserve">4. Cliente Objetivo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Buyer Persona Principal — La Profesional Estética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Esteticistas, cosmetólogas y terapeutas que trabajan en centros de estética o de forma independiente en Bogotá.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Edad: 25–45 años. Profesional activa, compra online con regularidad.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Busca: precios justos, productos certificados, entrega rápida y asesoría técnica.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de contacto principal: WhatsApp e Instagram.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Decisión de compra: basada en confianza, precio y disponibilidad inmediata.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Buyer Persona Secundario — El Médico Estético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Médicos generales o especialistas que realizan procedimientos de mesoterapia.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en mayor volumen (cajas cerradas), busca factura electrónica y trazabilidad INVIMA.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Canal: correo electrónico, WhatsApp Business y pedidos recurrentes.</w:t>
      </w:r>
    </w:p>
    <w:p>
      <w:pPr>
        <w:pStyle w:val="Heading2"/>
        <w:pBdr>
          <w:bottom w:val="single" w:color="1A8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8C6E"/>
          <w:sz w:val="26"/>
          <w:szCs w:val="26"/>
        </w:rPr>
        <w:t xml:space="preserve">5. Estructura de la Tienda Virtual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Páginas del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— Hero con propuesta de valor + categorías + productos destacados + testimonios.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Tienda — Catálogo filtrable por categoría (Lipolíticos, Vitamínicos, Anestésicos, Insumos).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Ficha de Producto — Foto, nombre, concentración, presentación, precio x unidad y x caja, botón de compra.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Carrito y Checkout — Lo más simple posible. 1 página si es posible.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Sobre Nosotros — Historia breve, garantías, certificaciones disponibles.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Contacto — WhatsApp directo + formulario + correo.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Stack Técnico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CMS: WordPress + WooCommerce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Tema: Flatsome (UI Builder visual, ideal para tiendas médico-estéticas)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Pasarela de pago Colombia: Wompi (Bancolombia) — integración oficial con WooCommerce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Envíos: arrancar manual con Coordinadora / Servientrega. Integrar Envia.com en V2.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Correo transaccional: FluentSMTP + Brevo (gratis hasta 300 emails/día)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flotante: plugin Joinchat o similar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Hosting: SiteGround o Hostinger Colombia (plan Business mínimo para WooCommerce)</w:t>
      </w:r>
    </w:p>
    <w:p>
      <w:pPr>
        <w:pStyle w:val="Heading2"/>
        <w:pBdr>
          <w:bottom w:val="single" w:color="1A8C6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8C6E"/>
          <w:sz w:val="26"/>
          <w:szCs w:val="26"/>
        </w:rPr>
        <w:t xml:space="preserve">6. Próximos Pasos Inmediatos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dominio mesolabpro.com.co en NIC Colombia.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cuenta @mesolabpro en Instagram y WhatsApp Business.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Confirmar precios de venta por unidad y por caja con la proveedora.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Fotografiar los productos (fondo blanco, buena luz) o usar mockups digitales.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Generar logo con IA (Midjourney, Adobe Firefly o Ideogram) usando el prompt del brief.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WordPress + WooCommerce + Flatsome en hosting.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Cargar catálogo con variaciones (unidad / caja) y precios.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Activar Wompi y hacer prueba de compra completa.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Lanzar en Instagram con primeras publicaciones de producto y apertura de tienda.</w:t>
      </w:r>
    </w:p>
    <w:p>
      <w:pPr>
        <w:pBdr>
          <w:top w:val="single" w:color="1A8C6E" w:sz="4" w:space="4"/>
        </w:pBdr>
        <w:spacing w:before="640"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MesoLab Pro · Brand Brief v1.0 ·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8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2026-02-21T17:14:58.600Z</dcterms:created>
  <dcterms:modified xsi:type="dcterms:W3CDTF">2026-02-21T17:14:58.601Z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