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00102202200054572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K42798</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 IRREVOCABLE Y ESPECIFICO DE REPRESENTACIÓN ESPECIAL</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ROBERTO ESTRADA GRUESO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BETTY CUNYA MOROCHO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00102202200054572</w:t>
      </w:r>
      <w:r>
        <w:rPr>
          <w:rFonts w:ascii="Verdana" w:hAnsi="Verdana" w:cs="Arial"/>
          <w:b/>
          <w:bCs/>
          <w:color w:val="000000"/>
          <w:sz w:val="12"/>
          <w:szCs w:val="12"/>
        </w:rPr>
        <w:t> </w:t>
      </w:r>
      <w:r>
        <w:rPr>
          <w:rFonts w:ascii="Verdana" w:hAnsi="Verdana" w:cs="Arial"/>
          <w:color w:val="000000"/>
          <w:sz w:val="12"/>
          <w:szCs w:val="12"/>
        </w:rPr>
        <w:t> * * * * * * * * * BOT / MCR / 001-0076272 * * * * * * * * * 54572</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&lt;B10&gt;ROBERTO ESTRADA GRUESO&lt;B10&gt;, QUIEN MANIFIESTA SER DE NACIONALIDAD COLOMBIANA, DE ESTADO CIVIL CASADO, DE OCUPACION EMPRESARIO IDENTIFICADO CON CARNET DE EXTRANJERIA NUMERO 000533800, CON DOMICILIO EN CALLE LUIS PASTEUR 1475, DISTRITO DE LINCE, PROVINCIA DE LIMA, DEPARTAMENTO DE LIMA.==</w:t>
        <w:br/>
        <w:t>QUIEN PROCEDE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ROBERTO ESTRADA GRUESO</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