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E33AC0">
        <w:trPr>
          <w:trHeight w:val="205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</w:tcPr>
          <w:p w14:paraId="2C2B48C9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</w:tcPr>
          <w:p w14:paraId="139412ED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Inicio</w:t>
            </w:r>
          </w:p>
        </w:tc>
        <w:tc>
          <w:tcPr>
            <w:tcW w:w="1126" w:type="dxa"/>
          </w:tcPr>
          <w:p w14:paraId="32A6C1A6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Fin</w:t>
            </w:r>
          </w:p>
        </w:tc>
      </w:tr>
      <w:tr w:rsidR="00E33AC0" w:rsidRPr="00E33AC0" w14:paraId="3457470B" w14:textId="77777777" w:rsidTr="00151823">
        <w:tc>
          <w:tcPr>
            <w:tcW w:w="1105" w:type="dxa"/>
            <w:shd w:val="clear" w:color="auto" w:fill="DAE9F7" w:themeFill="text2" w:themeFillTint="1A"/>
          </w:tcPr>
          <w:p w14:paraId="719F7A2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653840D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6F3AC18B" w14:textId="77777777" w:rsidTr="00151823">
        <w:tc>
          <w:tcPr>
            <w:tcW w:w="1105" w:type="dxa"/>
            <w:shd w:val="clear" w:color="auto" w:fill="DAE9F7" w:themeFill="text2" w:themeFillTint="1A"/>
          </w:tcPr>
          <w:p w14:paraId="134D30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57182B6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3911DFD4" w14:textId="77777777" w:rsidTr="00151823">
        <w:tc>
          <w:tcPr>
            <w:tcW w:w="1105" w:type="dxa"/>
            <w:shd w:val="clear" w:color="auto" w:fill="DAE9F7" w:themeFill="text2" w:themeFillTint="1A"/>
          </w:tcPr>
          <w:p w14:paraId="3C1FF6A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5A1CE3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756676" w:rsidRPr="00E33AC0" w14:paraId="26FAA74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756676" w:rsidRPr="00E33AC0" w:rsidRDefault="00756676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756676" w:rsidRPr="00E33AC0" w:rsidRDefault="00756676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E90D4F4" w14:textId="001AE494" w:rsidR="00756676" w:rsidRPr="007B4864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756676" w:rsidRPr="007B4864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756676" w:rsidRPr="007B4864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8740E1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756676" w:rsidRPr="00E33AC0" w:rsidRDefault="00756676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756676" w:rsidRPr="00E33AC0" w:rsidRDefault="00756676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756676" w:rsidRPr="00E33AC0" w:rsidRDefault="00756676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773A1B8" w14:textId="73D18D0A" w:rsidR="00756676" w:rsidRPr="00151823" w:rsidRDefault="00756676" w:rsidP="00756676">
            <w:pPr>
              <w:spacing w:after="160" w:line="278" w:lineRule="auto"/>
              <w:rPr>
                <w:lang w:val="es-EC"/>
              </w:rPr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756676" w:rsidRPr="00E33AC0" w:rsidRDefault="00756676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756676" w:rsidRPr="00E33AC0" w:rsidRDefault="00756676" w:rsidP="00756676">
            <w:pPr>
              <w:spacing w:after="160" w:line="278" w:lineRule="auto"/>
            </w:pPr>
            <w:r>
              <w:t>7 mayo</w:t>
            </w:r>
          </w:p>
        </w:tc>
      </w:tr>
      <w:tr w:rsidR="00756676" w:rsidRPr="00E33AC0" w14:paraId="249D47EB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4CAB8F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18BFB42A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84E716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756676" w:rsidRPr="00E33AC0" w14:paraId="35C103C6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3E2807B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3156A891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5C164D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2CF7557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4E5C05A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756676" w:rsidRPr="00E33AC0" w14:paraId="0C3FED11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750DC5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756676" w:rsidRPr="00E33AC0" w14:paraId="5B018289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756676" w:rsidRPr="00E33AC0" w:rsidRDefault="00756676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3FF95B7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756676" w:rsidRPr="00E33AC0" w14:paraId="0E7E51C7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1A9CA9D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6851BA54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42A3084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06283075" w14:textId="77777777" w:rsidTr="00151823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1D1D1" w:themeFill="background2" w:themeFillShade="E6"/>
          </w:tcPr>
          <w:p w14:paraId="065BBFE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28 mayo</w:t>
            </w:r>
          </w:p>
        </w:tc>
      </w:tr>
      <w:tr w:rsidR="00756676" w:rsidRPr="00E33AC0" w14:paraId="774527A5" w14:textId="77777777" w:rsidTr="00151823">
        <w:tc>
          <w:tcPr>
            <w:tcW w:w="1105" w:type="dxa"/>
            <w:shd w:val="clear" w:color="auto" w:fill="DAE9F7" w:themeFill="text2" w:themeFillTint="1A"/>
          </w:tcPr>
          <w:p w14:paraId="4ED79E5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0A5FAA9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4D96F61E" w14:textId="77777777" w:rsidTr="00151823">
        <w:tc>
          <w:tcPr>
            <w:tcW w:w="1105" w:type="dxa"/>
            <w:shd w:val="clear" w:color="auto" w:fill="DAE9F7" w:themeFill="text2" w:themeFillTint="1A"/>
          </w:tcPr>
          <w:p w14:paraId="330ECDF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736BA27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75BBBE1B" w14:textId="77777777" w:rsidTr="00151823">
        <w:tc>
          <w:tcPr>
            <w:tcW w:w="1105" w:type="dxa"/>
            <w:shd w:val="clear" w:color="auto" w:fill="DAE9F7" w:themeFill="text2" w:themeFillTint="1A"/>
          </w:tcPr>
          <w:p w14:paraId="336CAD8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AE9F7" w:themeFill="text2" w:themeFillTint="1A"/>
          </w:tcPr>
          <w:p w14:paraId="2A2CEC8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 junio</w:t>
            </w:r>
          </w:p>
        </w:tc>
      </w:tr>
      <w:tr w:rsidR="00756676" w:rsidRPr="00E33AC0" w14:paraId="5DC087F2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6FA1A55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36898A64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CABF7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5CE05074" w14:textId="77777777" w:rsidTr="00151823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2CEED" w:themeFill="accent5" w:themeFillTint="33"/>
          </w:tcPr>
          <w:p w14:paraId="42D5AD3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11 junio</w:t>
            </w:r>
          </w:p>
        </w:tc>
      </w:tr>
      <w:tr w:rsidR="00756676" w:rsidRPr="00E33AC0" w14:paraId="7C65A364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247B6AD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lastRenderedPageBreak/>
              <w:t>HU-013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2A3E30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16AE9DAE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623A2A5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7CFFF4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74BC395C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43E3E3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7BF0CFC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09021260" w14:textId="77777777" w:rsidTr="00151823">
        <w:tc>
          <w:tcPr>
            <w:tcW w:w="1105" w:type="dxa"/>
            <w:shd w:val="clear" w:color="auto" w:fill="D9F2D0" w:themeFill="accent6" w:themeFillTint="33"/>
          </w:tcPr>
          <w:p w14:paraId="73F1877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D9F2D0" w:themeFill="accent6" w:themeFillTint="33"/>
          </w:tcPr>
          <w:p w14:paraId="1627F66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18 junio</w:t>
            </w:r>
          </w:p>
        </w:tc>
      </w:tr>
      <w:tr w:rsidR="00756676" w:rsidRPr="00E33AC0" w14:paraId="2F63B562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2F87A88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ingreso de reactivos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02C5D37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29ACB99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F3241D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682BF07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320184B7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0781597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Registro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50535E5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02E55AB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7F4D3C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6AE4C4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05940B58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0C992DD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B80EE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Listado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9A23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5B123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7AE811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1C9B1C2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25 junio</w:t>
            </w:r>
          </w:p>
        </w:tc>
      </w:tr>
      <w:tr w:rsidR="00756676" w:rsidRPr="00E33AC0" w14:paraId="279FAC0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B83D62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2BBB964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681AC5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7BC5693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F52134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AB973E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D273A49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339827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F2B274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CI/CD con GitHub </w:t>
            </w:r>
            <w:proofErr w:type="spellStart"/>
            <w:r w:rsidRPr="00E33AC0">
              <w:t>Actions</w:t>
            </w:r>
            <w:proofErr w:type="spellEnd"/>
          </w:p>
        </w:tc>
        <w:tc>
          <w:tcPr>
            <w:tcW w:w="1176" w:type="dxa"/>
            <w:shd w:val="clear" w:color="auto" w:fill="FAE2D5" w:themeFill="accent2" w:themeFillTint="33"/>
          </w:tcPr>
          <w:p w14:paraId="658E985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A785CB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68A8B8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6C17EE8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0B4C803F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4F4030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024C46F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Despliegue de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Server en Azure App </w:t>
            </w:r>
            <w:proofErr w:type="spellStart"/>
            <w:r w:rsidRPr="00E33AC0">
              <w:t>Service</w:t>
            </w:r>
            <w:proofErr w:type="spellEnd"/>
          </w:p>
        </w:tc>
        <w:tc>
          <w:tcPr>
            <w:tcW w:w="1176" w:type="dxa"/>
            <w:shd w:val="clear" w:color="auto" w:fill="FAE2D5" w:themeFill="accent2" w:themeFillTint="33"/>
          </w:tcPr>
          <w:p w14:paraId="4D90CC9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7047C1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1218642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4CC70D0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B159CA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0E0A02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146D5CB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Creación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FAE2D5" w:themeFill="accent2" w:themeFillTint="33"/>
          </w:tcPr>
          <w:p w14:paraId="428A190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46EE8E1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48CCCCF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3DFC85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659674E4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3728886B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2906362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Migración de Base de Datos Local a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FAE2D5" w:themeFill="accent2" w:themeFillTint="33"/>
          </w:tcPr>
          <w:p w14:paraId="6E595D3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755A3DB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1FF09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022E420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0687A8D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580F43C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CA88AF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E8768E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1919085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061DAE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16CB71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2A03A56E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1D65CEAD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5B672A6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appsettings</w:t>
            </w:r>
            <w:proofErr w:type="spellEnd"/>
            <w:r w:rsidRPr="00E33AC0">
              <w:t xml:space="preserve"> y secretos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359462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32E5766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27FC094A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FD1462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  <w:tr w:rsidR="00756676" w:rsidRPr="00E33AC0" w14:paraId="377331BD" w14:textId="77777777" w:rsidTr="00151823">
        <w:tc>
          <w:tcPr>
            <w:tcW w:w="1105" w:type="dxa"/>
            <w:shd w:val="clear" w:color="auto" w:fill="FAE2D5" w:themeFill="accent2" w:themeFillTint="33"/>
          </w:tcPr>
          <w:p w14:paraId="68EE3EC8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16EB65F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Backup</w:t>
            </w:r>
            <w:proofErr w:type="spellEnd"/>
            <w:r w:rsidRPr="00E33AC0">
              <w:t xml:space="preserve"> automático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FAE2D5" w:themeFill="accent2" w:themeFillTint="33"/>
          </w:tcPr>
          <w:p w14:paraId="5FB43A87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shd w:val="clear" w:color="auto" w:fill="FAE2D5" w:themeFill="accent2" w:themeFillTint="33"/>
          </w:tcPr>
          <w:p w14:paraId="20363FE9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5C3E9294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678A15CC" w14:textId="77777777" w:rsidR="00756676" w:rsidRPr="00E33AC0" w:rsidRDefault="00756676" w:rsidP="00756676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13131" w14:textId="77777777" w:rsidR="001C2783" w:rsidRDefault="001C2783">
      <w:pPr>
        <w:spacing w:after="0" w:line="240" w:lineRule="auto"/>
      </w:pPr>
      <w:r>
        <w:separator/>
      </w:r>
    </w:p>
  </w:endnote>
  <w:endnote w:type="continuationSeparator" w:id="0">
    <w:p w14:paraId="122B9EC8" w14:textId="77777777" w:rsidR="001C2783" w:rsidRDefault="001C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C7083" w14:textId="77777777" w:rsidR="001C2783" w:rsidRDefault="001C2783">
      <w:pPr>
        <w:spacing w:after="0" w:line="240" w:lineRule="auto"/>
      </w:pPr>
      <w:r>
        <w:separator/>
      </w:r>
    </w:p>
  </w:footnote>
  <w:footnote w:type="continuationSeparator" w:id="0">
    <w:p w14:paraId="315C8C22" w14:textId="77777777" w:rsidR="001C2783" w:rsidRDefault="001C2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151823"/>
    <w:rsid w:val="001C2783"/>
    <w:rsid w:val="001F64EF"/>
    <w:rsid w:val="00417C9A"/>
    <w:rsid w:val="00594C66"/>
    <w:rsid w:val="006154DD"/>
    <w:rsid w:val="00625BF2"/>
    <w:rsid w:val="007352C2"/>
    <w:rsid w:val="00756676"/>
    <w:rsid w:val="007B4864"/>
    <w:rsid w:val="007F2D9A"/>
    <w:rsid w:val="008156BB"/>
    <w:rsid w:val="00C4481F"/>
    <w:rsid w:val="00CA303B"/>
    <w:rsid w:val="00CE0C9E"/>
    <w:rsid w:val="00E33AC0"/>
    <w:rsid w:val="00E72D59"/>
    <w:rsid w:val="00EA74B9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9</cp:revision>
  <dcterms:created xsi:type="dcterms:W3CDTF">2025-04-25T13:13:00Z</dcterms:created>
  <dcterms:modified xsi:type="dcterms:W3CDTF">2025-04-29T14:33:00Z</dcterms:modified>
</cp:coreProperties>
</file>