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2C" w:rsidRDefault="008F41F0" w:rsidP="0023172C">
      <w:pPr>
        <w:pStyle w:val="NoSpacing"/>
      </w:pPr>
      <w:r>
        <w:t>&lt;Title Page&gt;</w:t>
      </w:r>
    </w:p>
    <w:p w:rsidR="00983CE2" w:rsidRDefault="00983CE2" w:rsidP="0023172C">
      <w:pPr>
        <w:pStyle w:val="NoSpacing"/>
      </w:pPr>
    </w:p>
    <w:p w:rsidR="00983CE2" w:rsidRDefault="00983CE2" w:rsidP="0023172C">
      <w:pPr>
        <w:pStyle w:val="NoSpacing"/>
      </w:pPr>
      <w:bookmarkStart w:id="0" w:name="_GoBack"/>
      <w:bookmarkEnd w:id="0"/>
    </w:p>
    <w:p w:rsidR="00983CE2" w:rsidRDefault="00983CE2">
      <w:pPr>
        <w:jc w:val="left"/>
      </w:pPr>
      <w:r>
        <w:br w:type="page"/>
      </w: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Pr="00983CE2" w:rsidRDefault="00983CE2" w:rsidP="00983CE2">
      <w:pPr>
        <w:pStyle w:val="NoSpacing"/>
        <w:jc w:val="center"/>
        <w:rPr>
          <w:i/>
        </w:rPr>
      </w:pPr>
      <w:r w:rsidRPr="00983CE2">
        <w:rPr>
          <w:i/>
        </w:rPr>
        <w:t>We give consent for this to be used as a teaching resource. / We DO NOT give</w:t>
      </w:r>
      <w:r w:rsidRPr="00983CE2">
        <w:rPr>
          <w:i/>
        </w:rPr>
        <w:t xml:space="preserve"> </w:t>
      </w:r>
      <w:r w:rsidRPr="00983CE2">
        <w:rPr>
          <w:i/>
        </w:rPr>
        <w:t>consent for this to be used as a teaching resource.</w:t>
      </w:r>
    </w:p>
    <w:p w:rsidR="00983CE2" w:rsidRDefault="00983CE2" w:rsidP="0023172C">
      <w:pPr>
        <w:pStyle w:val="NoSpacing"/>
      </w:pPr>
    </w:p>
    <w:p w:rsidR="00983CE2" w:rsidRDefault="00983CE2" w:rsidP="0023172C">
      <w:pPr>
        <w:pStyle w:val="NoSpacing"/>
      </w:pPr>
    </w:p>
    <w:p w:rsidR="00983CE2" w:rsidRDefault="00983CE2" w:rsidP="0023172C">
      <w:pPr>
        <w:pStyle w:val="NoSpacing"/>
      </w:pPr>
    </w:p>
    <w:p w:rsidR="00983CE2" w:rsidRDefault="00983CE2" w:rsidP="0023172C">
      <w:pPr>
        <w:pStyle w:val="NoSpacing"/>
        <w:sectPr w:rsidR="00983CE2">
          <w:pgSz w:w="11906" w:h="16838"/>
          <w:pgMar w:top="1440" w:right="1440" w:bottom="1440" w:left="1440" w:header="708" w:footer="708" w:gutter="0"/>
          <w:cols w:space="708"/>
          <w:docGrid w:linePitch="360"/>
        </w:sectPr>
      </w:pPr>
    </w:p>
    <w:p w:rsidR="0023172C" w:rsidRDefault="0023172C" w:rsidP="0023172C">
      <w:pPr>
        <w:pStyle w:val="Heading1"/>
        <w:numPr>
          <w:ilvl w:val="0"/>
          <w:numId w:val="0"/>
        </w:numPr>
      </w:pPr>
      <w:bookmarkStart w:id="1" w:name="_Toc52110088"/>
      <w:r>
        <w:lastRenderedPageBreak/>
        <w:t>Executive Summary</w:t>
      </w:r>
      <w:bookmarkEnd w:id="1"/>
    </w:p>
    <w:p w:rsidR="0023172C" w:rsidRDefault="0023172C" w:rsidP="0023172C"/>
    <w:p w:rsidR="0023172C" w:rsidRDefault="0023172C" w:rsidP="0023172C"/>
    <w:p w:rsidR="0023172C" w:rsidRPr="0023172C" w:rsidRDefault="0023172C" w:rsidP="0023172C">
      <w:pPr>
        <w:sectPr w:rsidR="0023172C" w:rsidRPr="0023172C">
          <w:pgSz w:w="11906" w:h="16838"/>
          <w:pgMar w:top="1440" w:right="1440" w:bottom="1440" w:left="1440" w:header="708" w:footer="708" w:gutter="0"/>
          <w:cols w:space="708"/>
          <w:docGrid w:linePitch="360"/>
        </w:sectPr>
      </w:pPr>
    </w:p>
    <w:p w:rsidR="0023172C" w:rsidRDefault="0023172C" w:rsidP="0023172C">
      <w:pPr>
        <w:pStyle w:val="Heading1"/>
        <w:numPr>
          <w:ilvl w:val="0"/>
          <w:numId w:val="0"/>
        </w:numPr>
      </w:pPr>
      <w:bookmarkStart w:id="2" w:name="_Toc52110089"/>
      <w:r>
        <w:lastRenderedPageBreak/>
        <w:t>Table of Contents</w:t>
      </w:r>
      <w:bookmarkEnd w:id="2"/>
    </w:p>
    <w:sdt>
      <w:sdtPr>
        <w:rPr>
          <w:rFonts w:ascii="Arial" w:eastAsiaTheme="minorHAnsi" w:hAnsi="Arial" w:cstheme="minorBidi"/>
          <w:color w:val="auto"/>
          <w:sz w:val="22"/>
          <w:szCs w:val="22"/>
          <w:lang w:val="en-AU"/>
        </w:rPr>
        <w:id w:val="826562660"/>
        <w:docPartObj>
          <w:docPartGallery w:val="Table of Contents"/>
          <w:docPartUnique/>
        </w:docPartObj>
      </w:sdtPr>
      <w:sdtEndPr>
        <w:rPr>
          <w:b/>
          <w:bCs/>
          <w:noProof/>
        </w:rPr>
      </w:sdtEndPr>
      <w:sdtContent>
        <w:p w:rsidR="0023172C" w:rsidRPr="003E1522" w:rsidRDefault="0023172C">
          <w:pPr>
            <w:pStyle w:val="TOCHeading"/>
          </w:pPr>
        </w:p>
        <w:p w:rsidR="008F41F0" w:rsidRDefault="0023172C">
          <w:pPr>
            <w:pStyle w:val="TOC1"/>
            <w:tabs>
              <w:tab w:val="right" w:leader="dot" w:pos="9016"/>
            </w:tabs>
            <w:rPr>
              <w:rFonts w:asciiTheme="minorHAnsi" w:eastAsiaTheme="minorEastAsia" w:hAnsiTheme="minorHAnsi"/>
              <w:noProof/>
              <w:lang w:eastAsia="en-AU"/>
            </w:rPr>
          </w:pPr>
          <w:r>
            <w:rPr>
              <w:b/>
              <w:bCs/>
              <w:noProof/>
            </w:rPr>
            <w:fldChar w:fldCharType="begin"/>
          </w:r>
          <w:r>
            <w:rPr>
              <w:b/>
              <w:bCs/>
              <w:noProof/>
            </w:rPr>
            <w:instrText xml:space="preserve"> TOC \o "1-3" \h \z \u </w:instrText>
          </w:r>
          <w:r>
            <w:rPr>
              <w:b/>
              <w:bCs/>
              <w:noProof/>
            </w:rPr>
            <w:fldChar w:fldCharType="separate"/>
          </w:r>
          <w:hyperlink w:anchor="_Toc52110088" w:history="1">
            <w:r w:rsidR="008F41F0" w:rsidRPr="009C086A">
              <w:rPr>
                <w:rStyle w:val="Hyperlink"/>
                <w:noProof/>
              </w:rPr>
              <w:t>Executive Summary</w:t>
            </w:r>
            <w:r w:rsidR="008F41F0">
              <w:rPr>
                <w:noProof/>
                <w:webHidden/>
              </w:rPr>
              <w:tab/>
            </w:r>
            <w:r w:rsidR="008F41F0">
              <w:rPr>
                <w:noProof/>
                <w:webHidden/>
              </w:rPr>
              <w:fldChar w:fldCharType="begin"/>
            </w:r>
            <w:r w:rsidR="008F41F0">
              <w:rPr>
                <w:noProof/>
                <w:webHidden/>
              </w:rPr>
              <w:instrText xml:space="preserve"> PAGEREF _Toc52110088 \h </w:instrText>
            </w:r>
            <w:r w:rsidR="008F41F0">
              <w:rPr>
                <w:noProof/>
                <w:webHidden/>
              </w:rPr>
            </w:r>
            <w:r w:rsidR="008F41F0">
              <w:rPr>
                <w:noProof/>
                <w:webHidden/>
              </w:rPr>
              <w:fldChar w:fldCharType="separate"/>
            </w:r>
            <w:r w:rsidR="008F41F0">
              <w:rPr>
                <w:noProof/>
                <w:webHidden/>
              </w:rPr>
              <w:t>2</w:t>
            </w:r>
            <w:r w:rsidR="008F41F0">
              <w:rPr>
                <w:noProof/>
                <w:webHidden/>
              </w:rPr>
              <w:fldChar w:fldCharType="end"/>
            </w:r>
          </w:hyperlink>
        </w:p>
        <w:p w:rsidR="008F41F0" w:rsidRDefault="008F41F0">
          <w:pPr>
            <w:pStyle w:val="TOC1"/>
            <w:tabs>
              <w:tab w:val="right" w:leader="dot" w:pos="9016"/>
            </w:tabs>
            <w:rPr>
              <w:rFonts w:asciiTheme="minorHAnsi" w:eastAsiaTheme="minorEastAsia" w:hAnsiTheme="minorHAnsi"/>
              <w:noProof/>
              <w:lang w:eastAsia="en-AU"/>
            </w:rPr>
          </w:pPr>
          <w:hyperlink w:anchor="_Toc52110089" w:history="1">
            <w:r w:rsidRPr="009C086A">
              <w:rPr>
                <w:rStyle w:val="Hyperlink"/>
                <w:noProof/>
              </w:rPr>
              <w:t>Table of Contents</w:t>
            </w:r>
            <w:r>
              <w:rPr>
                <w:noProof/>
                <w:webHidden/>
              </w:rPr>
              <w:tab/>
            </w:r>
            <w:r>
              <w:rPr>
                <w:noProof/>
                <w:webHidden/>
              </w:rPr>
              <w:fldChar w:fldCharType="begin"/>
            </w:r>
            <w:r>
              <w:rPr>
                <w:noProof/>
                <w:webHidden/>
              </w:rPr>
              <w:instrText xml:space="preserve"> PAGEREF _Toc52110089 \h </w:instrText>
            </w:r>
            <w:r>
              <w:rPr>
                <w:noProof/>
                <w:webHidden/>
              </w:rPr>
            </w:r>
            <w:r>
              <w:rPr>
                <w:noProof/>
                <w:webHidden/>
              </w:rPr>
              <w:fldChar w:fldCharType="separate"/>
            </w:r>
            <w:r>
              <w:rPr>
                <w:noProof/>
                <w:webHidden/>
              </w:rPr>
              <w:t>3</w:t>
            </w:r>
            <w:r>
              <w:rPr>
                <w:noProof/>
                <w:webHidden/>
              </w:rPr>
              <w:fldChar w:fldCharType="end"/>
            </w:r>
          </w:hyperlink>
        </w:p>
        <w:p w:rsidR="008F41F0" w:rsidRDefault="008F41F0">
          <w:pPr>
            <w:pStyle w:val="TOC1"/>
            <w:tabs>
              <w:tab w:val="left" w:pos="440"/>
              <w:tab w:val="right" w:leader="dot" w:pos="9016"/>
            </w:tabs>
            <w:rPr>
              <w:rFonts w:asciiTheme="minorHAnsi" w:eastAsiaTheme="minorEastAsia" w:hAnsiTheme="minorHAnsi"/>
              <w:noProof/>
              <w:lang w:eastAsia="en-AU"/>
            </w:rPr>
          </w:pPr>
          <w:hyperlink w:anchor="_Toc52110090" w:history="1">
            <w:r w:rsidRPr="009C086A">
              <w:rPr>
                <w:rStyle w:val="Hyperlink"/>
                <w:noProof/>
              </w:rPr>
              <w:t>2</w:t>
            </w:r>
            <w:r>
              <w:rPr>
                <w:rFonts w:asciiTheme="minorHAnsi" w:eastAsiaTheme="minorEastAsia" w:hAnsiTheme="minorHAnsi"/>
                <w:noProof/>
                <w:lang w:eastAsia="en-AU"/>
              </w:rPr>
              <w:tab/>
            </w:r>
            <w:r w:rsidRPr="009C086A">
              <w:rPr>
                <w:rStyle w:val="Hyperlink"/>
                <w:noProof/>
              </w:rPr>
              <w:t>Defining the Problem</w:t>
            </w:r>
            <w:r>
              <w:rPr>
                <w:noProof/>
                <w:webHidden/>
              </w:rPr>
              <w:tab/>
            </w:r>
            <w:r>
              <w:rPr>
                <w:noProof/>
                <w:webHidden/>
              </w:rPr>
              <w:fldChar w:fldCharType="begin"/>
            </w:r>
            <w:r>
              <w:rPr>
                <w:noProof/>
                <w:webHidden/>
              </w:rPr>
              <w:instrText xml:space="preserve"> PAGEREF _Toc52110090 \h </w:instrText>
            </w:r>
            <w:r>
              <w:rPr>
                <w:noProof/>
                <w:webHidden/>
              </w:rPr>
            </w:r>
            <w:r>
              <w:rPr>
                <w:noProof/>
                <w:webHidden/>
              </w:rPr>
              <w:fldChar w:fldCharType="separate"/>
            </w:r>
            <w:r>
              <w:rPr>
                <w:noProof/>
                <w:webHidden/>
              </w:rPr>
              <w:t>4</w:t>
            </w:r>
            <w:r>
              <w:rPr>
                <w:noProof/>
                <w:webHidden/>
              </w:rPr>
              <w:fldChar w:fldCharType="end"/>
            </w:r>
          </w:hyperlink>
        </w:p>
        <w:p w:rsidR="008F41F0" w:rsidRDefault="008F41F0">
          <w:pPr>
            <w:pStyle w:val="TOC2"/>
            <w:tabs>
              <w:tab w:val="right" w:leader="dot" w:pos="9016"/>
            </w:tabs>
            <w:rPr>
              <w:noProof/>
            </w:rPr>
          </w:pPr>
          <w:hyperlink w:anchor="_Toc52110091" w:history="1">
            <w:r w:rsidRPr="009C086A">
              <w:rPr>
                <w:rStyle w:val="Hyperlink"/>
                <w:noProof/>
              </w:rPr>
              <w:t>2.1</w:t>
            </w:r>
            <w:r>
              <w:rPr>
                <w:noProof/>
                <w:webHidden/>
              </w:rPr>
              <w:tab/>
            </w:r>
            <w:r>
              <w:rPr>
                <w:noProof/>
                <w:webHidden/>
              </w:rPr>
              <w:fldChar w:fldCharType="begin"/>
            </w:r>
            <w:r>
              <w:rPr>
                <w:noProof/>
                <w:webHidden/>
              </w:rPr>
              <w:instrText xml:space="preserve"> PAGEREF _Toc52110091 \h </w:instrText>
            </w:r>
            <w:r>
              <w:rPr>
                <w:noProof/>
                <w:webHidden/>
              </w:rPr>
            </w:r>
            <w:r>
              <w:rPr>
                <w:noProof/>
                <w:webHidden/>
              </w:rPr>
              <w:fldChar w:fldCharType="separate"/>
            </w:r>
            <w:r>
              <w:rPr>
                <w:noProof/>
                <w:webHidden/>
              </w:rPr>
              <w:t>4</w:t>
            </w:r>
            <w:r>
              <w:rPr>
                <w:noProof/>
                <w:webHidden/>
              </w:rPr>
              <w:fldChar w:fldCharType="end"/>
            </w:r>
          </w:hyperlink>
        </w:p>
        <w:p w:rsidR="008F41F0" w:rsidRDefault="008F41F0">
          <w:pPr>
            <w:pStyle w:val="TOC2"/>
            <w:tabs>
              <w:tab w:val="left" w:pos="880"/>
              <w:tab w:val="right" w:leader="dot" w:pos="9016"/>
            </w:tabs>
            <w:rPr>
              <w:noProof/>
            </w:rPr>
          </w:pPr>
          <w:hyperlink w:anchor="_Toc52110092" w:history="1">
            <w:r w:rsidRPr="009C086A">
              <w:rPr>
                <w:rStyle w:val="Hyperlink"/>
                <w:noProof/>
              </w:rPr>
              <w:t>2.2</w:t>
            </w:r>
            <w:r>
              <w:rPr>
                <w:noProof/>
              </w:rPr>
              <w:tab/>
            </w:r>
            <w:r w:rsidRPr="009C086A">
              <w:rPr>
                <w:rStyle w:val="Hyperlink"/>
                <w:noProof/>
              </w:rPr>
              <w:t>S</w:t>
            </w:r>
            <w:r>
              <w:rPr>
                <w:noProof/>
                <w:webHidden/>
              </w:rPr>
              <w:tab/>
            </w:r>
            <w:r>
              <w:rPr>
                <w:noProof/>
                <w:webHidden/>
              </w:rPr>
              <w:fldChar w:fldCharType="begin"/>
            </w:r>
            <w:r>
              <w:rPr>
                <w:noProof/>
                <w:webHidden/>
              </w:rPr>
              <w:instrText xml:space="preserve"> PAGEREF _Toc52110092 \h </w:instrText>
            </w:r>
            <w:r>
              <w:rPr>
                <w:noProof/>
                <w:webHidden/>
              </w:rPr>
            </w:r>
            <w:r>
              <w:rPr>
                <w:noProof/>
                <w:webHidden/>
              </w:rPr>
              <w:fldChar w:fldCharType="separate"/>
            </w:r>
            <w:r>
              <w:rPr>
                <w:noProof/>
                <w:webHidden/>
              </w:rPr>
              <w:t>4</w:t>
            </w:r>
            <w:r>
              <w:rPr>
                <w:noProof/>
                <w:webHidden/>
              </w:rPr>
              <w:fldChar w:fldCharType="end"/>
            </w:r>
          </w:hyperlink>
        </w:p>
        <w:p w:rsidR="008F41F0" w:rsidRDefault="008F41F0">
          <w:pPr>
            <w:pStyle w:val="TOC1"/>
            <w:tabs>
              <w:tab w:val="left" w:pos="440"/>
              <w:tab w:val="right" w:leader="dot" w:pos="9016"/>
            </w:tabs>
            <w:rPr>
              <w:rFonts w:asciiTheme="minorHAnsi" w:eastAsiaTheme="minorEastAsia" w:hAnsiTheme="minorHAnsi"/>
              <w:noProof/>
              <w:lang w:eastAsia="en-AU"/>
            </w:rPr>
          </w:pPr>
          <w:hyperlink w:anchor="_Toc52110093" w:history="1">
            <w:r w:rsidRPr="009C086A">
              <w:rPr>
                <w:rStyle w:val="Hyperlink"/>
                <w:noProof/>
              </w:rPr>
              <w:t>3</w:t>
            </w:r>
            <w:r>
              <w:rPr>
                <w:rFonts w:asciiTheme="minorHAnsi" w:eastAsiaTheme="minorEastAsia" w:hAnsiTheme="minorHAnsi"/>
                <w:noProof/>
                <w:lang w:eastAsia="en-AU"/>
              </w:rPr>
              <w:tab/>
            </w:r>
            <w:r w:rsidRPr="009C086A">
              <w:rPr>
                <w:rStyle w:val="Hyperlink"/>
                <w:noProof/>
              </w:rPr>
              <w:t>Sourcing Methodology</w:t>
            </w:r>
            <w:r>
              <w:rPr>
                <w:noProof/>
                <w:webHidden/>
              </w:rPr>
              <w:tab/>
            </w:r>
            <w:r>
              <w:rPr>
                <w:noProof/>
                <w:webHidden/>
              </w:rPr>
              <w:fldChar w:fldCharType="begin"/>
            </w:r>
            <w:r>
              <w:rPr>
                <w:noProof/>
                <w:webHidden/>
              </w:rPr>
              <w:instrText xml:space="preserve"> PAGEREF _Toc52110093 \h </w:instrText>
            </w:r>
            <w:r>
              <w:rPr>
                <w:noProof/>
                <w:webHidden/>
              </w:rPr>
            </w:r>
            <w:r>
              <w:rPr>
                <w:noProof/>
                <w:webHidden/>
              </w:rPr>
              <w:fldChar w:fldCharType="separate"/>
            </w:r>
            <w:r>
              <w:rPr>
                <w:noProof/>
                <w:webHidden/>
              </w:rPr>
              <w:t>5</w:t>
            </w:r>
            <w:r>
              <w:rPr>
                <w:noProof/>
                <w:webHidden/>
              </w:rPr>
              <w:fldChar w:fldCharType="end"/>
            </w:r>
          </w:hyperlink>
        </w:p>
        <w:p w:rsidR="008F41F0" w:rsidRDefault="008F41F0">
          <w:pPr>
            <w:pStyle w:val="TOC2"/>
            <w:tabs>
              <w:tab w:val="right" w:leader="dot" w:pos="9016"/>
            </w:tabs>
            <w:rPr>
              <w:noProof/>
            </w:rPr>
          </w:pPr>
          <w:hyperlink w:anchor="_Toc52110094" w:history="1">
            <w:r w:rsidRPr="009C086A">
              <w:rPr>
                <w:rStyle w:val="Hyperlink"/>
                <w:noProof/>
              </w:rPr>
              <w:t>3.1</w:t>
            </w:r>
            <w:r>
              <w:rPr>
                <w:noProof/>
                <w:webHidden/>
              </w:rPr>
              <w:tab/>
            </w:r>
            <w:r>
              <w:rPr>
                <w:noProof/>
                <w:webHidden/>
              </w:rPr>
              <w:fldChar w:fldCharType="begin"/>
            </w:r>
            <w:r>
              <w:rPr>
                <w:noProof/>
                <w:webHidden/>
              </w:rPr>
              <w:instrText xml:space="preserve"> PAGEREF _Toc52110094 \h </w:instrText>
            </w:r>
            <w:r>
              <w:rPr>
                <w:noProof/>
                <w:webHidden/>
              </w:rPr>
            </w:r>
            <w:r>
              <w:rPr>
                <w:noProof/>
                <w:webHidden/>
              </w:rPr>
              <w:fldChar w:fldCharType="separate"/>
            </w:r>
            <w:r>
              <w:rPr>
                <w:noProof/>
                <w:webHidden/>
              </w:rPr>
              <w:t>5</w:t>
            </w:r>
            <w:r>
              <w:rPr>
                <w:noProof/>
                <w:webHidden/>
              </w:rPr>
              <w:fldChar w:fldCharType="end"/>
            </w:r>
          </w:hyperlink>
        </w:p>
        <w:p w:rsidR="008F41F0" w:rsidRDefault="008F41F0">
          <w:pPr>
            <w:pStyle w:val="TOC1"/>
            <w:tabs>
              <w:tab w:val="left" w:pos="440"/>
              <w:tab w:val="right" w:leader="dot" w:pos="9016"/>
            </w:tabs>
            <w:rPr>
              <w:rFonts w:asciiTheme="minorHAnsi" w:eastAsiaTheme="minorEastAsia" w:hAnsiTheme="minorHAnsi"/>
              <w:noProof/>
              <w:lang w:eastAsia="en-AU"/>
            </w:rPr>
          </w:pPr>
          <w:hyperlink w:anchor="_Toc52110095" w:history="1">
            <w:r w:rsidRPr="009C086A">
              <w:rPr>
                <w:rStyle w:val="Hyperlink"/>
                <w:noProof/>
              </w:rPr>
              <w:t>4</w:t>
            </w:r>
            <w:r>
              <w:rPr>
                <w:rFonts w:asciiTheme="minorHAnsi" w:eastAsiaTheme="minorEastAsia" w:hAnsiTheme="minorHAnsi"/>
                <w:noProof/>
                <w:lang w:eastAsia="en-AU"/>
              </w:rPr>
              <w:tab/>
            </w:r>
            <w:r w:rsidRPr="009C086A">
              <w:rPr>
                <w:rStyle w:val="Hyperlink"/>
                <w:noProof/>
              </w:rPr>
              <w:t>Modelling Methodology</w:t>
            </w:r>
            <w:r>
              <w:rPr>
                <w:noProof/>
                <w:webHidden/>
              </w:rPr>
              <w:tab/>
            </w:r>
            <w:r>
              <w:rPr>
                <w:noProof/>
                <w:webHidden/>
              </w:rPr>
              <w:fldChar w:fldCharType="begin"/>
            </w:r>
            <w:r>
              <w:rPr>
                <w:noProof/>
                <w:webHidden/>
              </w:rPr>
              <w:instrText xml:space="preserve"> PAGEREF _Toc52110095 \h </w:instrText>
            </w:r>
            <w:r>
              <w:rPr>
                <w:noProof/>
                <w:webHidden/>
              </w:rPr>
            </w:r>
            <w:r>
              <w:rPr>
                <w:noProof/>
                <w:webHidden/>
              </w:rPr>
              <w:fldChar w:fldCharType="separate"/>
            </w:r>
            <w:r>
              <w:rPr>
                <w:noProof/>
                <w:webHidden/>
              </w:rPr>
              <w:t>6</w:t>
            </w:r>
            <w:r>
              <w:rPr>
                <w:noProof/>
                <w:webHidden/>
              </w:rPr>
              <w:fldChar w:fldCharType="end"/>
            </w:r>
          </w:hyperlink>
        </w:p>
        <w:p w:rsidR="008F41F0" w:rsidRDefault="008F41F0">
          <w:pPr>
            <w:pStyle w:val="TOC1"/>
            <w:tabs>
              <w:tab w:val="left" w:pos="440"/>
              <w:tab w:val="right" w:leader="dot" w:pos="9016"/>
            </w:tabs>
            <w:rPr>
              <w:rFonts w:asciiTheme="minorHAnsi" w:eastAsiaTheme="minorEastAsia" w:hAnsiTheme="minorHAnsi"/>
              <w:noProof/>
              <w:lang w:eastAsia="en-AU"/>
            </w:rPr>
          </w:pPr>
          <w:hyperlink w:anchor="_Toc52110096" w:history="1">
            <w:r w:rsidRPr="009C086A">
              <w:rPr>
                <w:rStyle w:val="Hyperlink"/>
                <w:noProof/>
              </w:rPr>
              <w:t>5</w:t>
            </w:r>
            <w:r>
              <w:rPr>
                <w:rFonts w:asciiTheme="minorHAnsi" w:eastAsiaTheme="minorEastAsia" w:hAnsiTheme="minorHAnsi"/>
                <w:noProof/>
                <w:lang w:eastAsia="en-AU"/>
              </w:rPr>
              <w:tab/>
            </w:r>
            <w:r w:rsidRPr="009C086A">
              <w:rPr>
                <w:rStyle w:val="Hyperlink"/>
                <w:noProof/>
              </w:rPr>
              <w:t>Outcomes and Insights</w:t>
            </w:r>
            <w:r>
              <w:rPr>
                <w:noProof/>
                <w:webHidden/>
              </w:rPr>
              <w:tab/>
            </w:r>
            <w:r>
              <w:rPr>
                <w:noProof/>
                <w:webHidden/>
              </w:rPr>
              <w:fldChar w:fldCharType="begin"/>
            </w:r>
            <w:r>
              <w:rPr>
                <w:noProof/>
                <w:webHidden/>
              </w:rPr>
              <w:instrText xml:space="preserve"> PAGEREF _Toc52110096 \h </w:instrText>
            </w:r>
            <w:r>
              <w:rPr>
                <w:noProof/>
                <w:webHidden/>
              </w:rPr>
            </w:r>
            <w:r>
              <w:rPr>
                <w:noProof/>
                <w:webHidden/>
              </w:rPr>
              <w:fldChar w:fldCharType="separate"/>
            </w:r>
            <w:r>
              <w:rPr>
                <w:noProof/>
                <w:webHidden/>
              </w:rPr>
              <w:t>7</w:t>
            </w:r>
            <w:r>
              <w:rPr>
                <w:noProof/>
                <w:webHidden/>
              </w:rPr>
              <w:fldChar w:fldCharType="end"/>
            </w:r>
          </w:hyperlink>
        </w:p>
        <w:p w:rsidR="008F41F0" w:rsidRDefault="008F41F0">
          <w:pPr>
            <w:pStyle w:val="TOC1"/>
            <w:tabs>
              <w:tab w:val="left" w:pos="440"/>
              <w:tab w:val="right" w:leader="dot" w:pos="9016"/>
            </w:tabs>
            <w:rPr>
              <w:rFonts w:asciiTheme="minorHAnsi" w:eastAsiaTheme="minorEastAsia" w:hAnsiTheme="minorHAnsi"/>
              <w:noProof/>
              <w:lang w:eastAsia="en-AU"/>
            </w:rPr>
          </w:pPr>
          <w:hyperlink w:anchor="_Toc52110097" w:history="1">
            <w:r w:rsidRPr="009C086A">
              <w:rPr>
                <w:rStyle w:val="Hyperlink"/>
                <w:noProof/>
              </w:rPr>
              <w:t>6</w:t>
            </w:r>
            <w:r>
              <w:rPr>
                <w:rFonts w:asciiTheme="minorHAnsi" w:eastAsiaTheme="minorEastAsia" w:hAnsiTheme="minorHAnsi"/>
                <w:noProof/>
                <w:lang w:eastAsia="en-AU"/>
              </w:rPr>
              <w:tab/>
            </w:r>
            <w:r w:rsidRPr="009C086A">
              <w:rPr>
                <w:rStyle w:val="Hyperlink"/>
                <w:noProof/>
              </w:rPr>
              <w:t>Summary</w:t>
            </w:r>
            <w:r>
              <w:rPr>
                <w:noProof/>
                <w:webHidden/>
              </w:rPr>
              <w:tab/>
            </w:r>
            <w:r>
              <w:rPr>
                <w:noProof/>
                <w:webHidden/>
              </w:rPr>
              <w:fldChar w:fldCharType="begin"/>
            </w:r>
            <w:r>
              <w:rPr>
                <w:noProof/>
                <w:webHidden/>
              </w:rPr>
              <w:instrText xml:space="preserve"> PAGEREF _Toc52110097 \h </w:instrText>
            </w:r>
            <w:r>
              <w:rPr>
                <w:noProof/>
                <w:webHidden/>
              </w:rPr>
            </w:r>
            <w:r>
              <w:rPr>
                <w:noProof/>
                <w:webHidden/>
              </w:rPr>
              <w:fldChar w:fldCharType="separate"/>
            </w:r>
            <w:r>
              <w:rPr>
                <w:noProof/>
                <w:webHidden/>
              </w:rPr>
              <w:t>8</w:t>
            </w:r>
            <w:r>
              <w:rPr>
                <w:noProof/>
                <w:webHidden/>
              </w:rPr>
              <w:fldChar w:fldCharType="end"/>
            </w:r>
          </w:hyperlink>
        </w:p>
        <w:p w:rsidR="0023172C" w:rsidRDefault="0023172C">
          <w:r>
            <w:rPr>
              <w:b/>
              <w:bCs/>
              <w:noProof/>
            </w:rPr>
            <w:fldChar w:fldCharType="end"/>
          </w:r>
        </w:p>
      </w:sdtContent>
    </w:sdt>
    <w:p w:rsidR="0023172C" w:rsidRPr="0023172C" w:rsidRDefault="0023172C" w:rsidP="00516497">
      <w:pPr>
        <w:pStyle w:val="ListParagraph"/>
        <w:numPr>
          <w:ilvl w:val="0"/>
          <w:numId w:val="5"/>
        </w:numPr>
      </w:pPr>
    </w:p>
    <w:p w:rsidR="0023172C" w:rsidRPr="0023172C" w:rsidRDefault="0023172C" w:rsidP="0023172C"/>
    <w:p w:rsidR="0023172C" w:rsidRPr="0023172C" w:rsidRDefault="0023172C" w:rsidP="0023172C"/>
    <w:p w:rsidR="0023172C" w:rsidRDefault="0023172C" w:rsidP="0023172C">
      <w:pPr>
        <w:sectPr w:rsidR="0023172C">
          <w:pgSz w:w="11906" w:h="16838"/>
          <w:pgMar w:top="1440" w:right="1440" w:bottom="1440" w:left="1440" w:header="708" w:footer="708" w:gutter="0"/>
          <w:cols w:space="708"/>
          <w:docGrid w:linePitch="360"/>
        </w:sectPr>
      </w:pPr>
    </w:p>
    <w:p w:rsidR="003E1522" w:rsidRDefault="0023172C" w:rsidP="00467B2E">
      <w:pPr>
        <w:pStyle w:val="Heading1"/>
        <w:numPr>
          <w:ilvl w:val="0"/>
          <w:numId w:val="8"/>
        </w:numPr>
      </w:pPr>
      <w:bookmarkStart w:id="3" w:name="_Toc52110090"/>
      <w:r>
        <w:lastRenderedPageBreak/>
        <w:t>Defining the Problem</w:t>
      </w:r>
      <w:bookmarkStart w:id="4" w:name="_Toc52110091"/>
      <w:bookmarkEnd w:id="3"/>
      <w:bookmarkEnd w:id="4"/>
    </w:p>
    <w:p w:rsidR="001E0607" w:rsidRDefault="001E0607" w:rsidP="001E0607">
      <w:pPr>
        <w:pStyle w:val="Heading2"/>
      </w:pPr>
      <w:r>
        <w:t>What is happening</w:t>
      </w:r>
    </w:p>
    <w:p w:rsidR="00516497" w:rsidRPr="00516497" w:rsidRDefault="00CF2DC8" w:rsidP="00516497">
      <w:r>
        <w:t xml:space="preserve">According to the 2019 Australian Election Study, public </w:t>
      </w:r>
      <w:r w:rsidR="00150D46">
        <w:t>trust</w:t>
      </w:r>
      <w:r>
        <w:t xml:space="preserve"> </w:t>
      </w:r>
      <w:r w:rsidR="00150D46">
        <w:t>in democratic institutions</w:t>
      </w:r>
      <w:r>
        <w:t xml:space="preserve"> in Australia is at the lowest it has been since the 1970s</w:t>
      </w:r>
      <w:r w:rsidR="00150D46">
        <w:t>. Just 59</w:t>
      </w:r>
      <w:r>
        <w:t xml:space="preserve">% of Australian’s </w:t>
      </w:r>
      <w:r w:rsidR="00150D46">
        <w:t>surveyed said they were satisfied with how democracy is working, down from a record high of 87% in 2007, and only 12% said they believed the government was run for ‘all the people’</w:t>
      </w:r>
      <w:r w:rsidR="00150D46">
        <w:rPr>
          <w:vertAlign w:val="superscript"/>
        </w:rPr>
        <w:t>1</w:t>
      </w:r>
      <w:r w:rsidR="00150D46">
        <w:t xml:space="preserve">. </w:t>
      </w:r>
      <w:r w:rsidR="004D7A3E">
        <w:t xml:space="preserve">This displeasure with government institutions is described further in </w:t>
      </w:r>
      <w:r w:rsidR="004D7A3E">
        <w:fldChar w:fldCharType="begin"/>
      </w:r>
      <w:r w:rsidR="004D7A3E">
        <w:instrText xml:space="preserve"> REF _Ref52120670 \h </w:instrText>
      </w:r>
      <w:r w:rsidR="004D7A3E">
        <w:fldChar w:fldCharType="separate"/>
      </w:r>
      <w:r w:rsidR="004D7A3E" w:rsidRPr="004D7A3E">
        <w:t xml:space="preserve">Figure </w:t>
      </w:r>
      <w:r w:rsidR="004D7A3E" w:rsidRPr="004D7A3E">
        <w:rPr>
          <w:noProof/>
        </w:rPr>
        <w:t>1</w:t>
      </w:r>
      <w:r w:rsidR="004D7A3E">
        <w:fldChar w:fldCharType="end"/>
      </w:r>
      <w:r w:rsidR="004D7A3E">
        <w:t>.</w:t>
      </w:r>
    </w:p>
    <w:p w:rsidR="0023172C" w:rsidRDefault="004D23BE" w:rsidP="004D7A3E">
      <w:pPr>
        <w:spacing w:after="0"/>
        <w:jc w:val="center"/>
      </w:pPr>
      <w:r>
        <w:rPr>
          <w:noProof/>
          <w:lang w:eastAsia="en-AU"/>
        </w:rPr>
        <w:drawing>
          <wp:inline distT="0" distB="0" distL="0" distR="0" wp14:anchorId="3E5AB799" wp14:editId="4D354CD1">
            <wp:extent cx="4540250" cy="1828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en-AU"/>
        </w:rPr>
        <w:drawing>
          <wp:inline distT="0" distB="0" distL="0" distR="0" wp14:anchorId="51FABF6C" wp14:editId="2AC98CF6">
            <wp:extent cx="4540250"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67B2E">
        <w:rPr>
          <w:noProof/>
          <w:lang w:eastAsia="en-AU"/>
        </w:rPr>
        <w:drawing>
          <wp:inline distT="0" distB="0" distL="0" distR="0" wp14:anchorId="71225A9C" wp14:editId="18DD326B">
            <wp:extent cx="4540623"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1522" w:rsidRPr="004D7A3E" w:rsidRDefault="00467B2E" w:rsidP="004D7A3E">
      <w:pPr>
        <w:pStyle w:val="Caption"/>
      </w:pPr>
      <w:bookmarkStart w:id="5" w:name="_Ref52120670"/>
      <w:r w:rsidRPr="004D7A3E">
        <w:t xml:space="preserve">Figure </w:t>
      </w:r>
      <w:r w:rsidRPr="004D7A3E">
        <w:fldChar w:fldCharType="begin"/>
      </w:r>
      <w:r w:rsidRPr="004D7A3E">
        <w:instrText xml:space="preserve"> SEQ Figure \* ARABIC </w:instrText>
      </w:r>
      <w:r w:rsidRPr="004D7A3E">
        <w:fldChar w:fldCharType="separate"/>
      </w:r>
      <w:r w:rsidRPr="004D7A3E">
        <w:rPr>
          <w:noProof/>
        </w:rPr>
        <w:t>1</w:t>
      </w:r>
      <w:r w:rsidRPr="004D7A3E">
        <w:fldChar w:fldCharType="end"/>
      </w:r>
      <w:bookmarkEnd w:id="5"/>
      <w:r w:rsidRPr="004D7A3E">
        <w:t xml:space="preserve">: </w:t>
      </w:r>
      <w:r w:rsidR="004D7A3E" w:rsidRPr="004D7A3E">
        <w:t xml:space="preserve">Trends in </w:t>
      </w:r>
      <w:r w:rsidRPr="004D7A3E">
        <w:t>Australian Trust in Politicians and Government Institutions</w:t>
      </w:r>
    </w:p>
    <w:p w:rsidR="00467B2E" w:rsidRDefault="009147FB" w:rsidP="0023172C">
      <w:r>
        <w:t xml:space="preserve">Stories of government corruption have filled news articles in recent years such as the now infamous Sports Rorts scandal, Barnaby Joyce’s $80M water buybacks and the Department of Infrastructure and Transports recent $30M purchase of land for the Western Sydney Airport which was valued at just $3M. </w:t>
      </w:r>
    </w:p>
    <w:p w:rsidR="004D7A3E" w:rsidRDefault="009147FB" w:rsidP="0023172C">
      <w:r>
        <w:t>The trends above show</w:t>
      </w:r>
      <w:r w:rsidR="001E0607">
        <w:t>s</w:t>
      </w:r>
      <w:r>
        <w:t xml:space="preserve"> that public is becoming more sceptical of government</w:t>
      </w:r>
      <w:r w:rsidR="001E0607">
        <w:t>, justified by these frequent corruption scandals</w:t>
      </w:r>
      <w:r>
        <w:t xml:space="preserve">. </w:t>
      </w:r>
      <w:r w:rsidR="001E0607">
        <w:t xml:space="preserve">Corruption is not new but, with the availability of data in </w:t>
      </w:r>
      <w:r w:rsidR="001E0607">
        <w:lastRenderedPageBreak/>
        <w:t>the modern era, the solutions to it can be. Rapidly exposing this corruption and informing voters is</w:t>
      </w:r>
      <w:r>
        <w:t xml:space="preserve"> </w:t>
      </w:r>
      <w:r w:rsidR="001E0607">
        <w:t>the most powerful way to discourage this behaviour.</w:t>
      </w:r>
    </w:p>
    <w:p w:rsidR="001E0607" w:rsidRDefault="001E0607" w:rsidP="001E0607">
      <w:pPr>
        <w:pStyle w:val="Heading2"/>
      </w:pPr>
      <w:r>
        <w:t>How will the problem be addressed</w:t>
      </w:r>
    </w:p>
    <w:p w:rsidR="00021034" w:rsidRPr="001E0607" w:rsidRDefault="001E0607" w:rsidP="001E0607">
      <w:r>
        <w:t>There are many forms of corruption in government; the type of corruption that this project aims to expose is pork barrelling – the use of public funds in a manner which is designed to win elections, regardless of the needs of the people.</w:t>
      </w:r>
      <w:r w:rsidR="00021034">
        <w:t xml:space="preserve"> This first phase of the project will serve as a ‘proof of concept’, focussing on the use of Queensland state funds and state elections. The data collected will include electoral maps, electoral results, the Queensland State Infrastructure Plan and census data. With this information, seats will be categorised broadly into their parties and safe/marginal. From there, relationships between spending and other parameters will be explored using basic exploratory data analysis. </w:t>
      </w:r>
      <w:r w:rsidR="00983CE2">
        <w:t xml:space="preserve">Any potential correlations found in the data will have a model developed to determine if there is a statistically significant relationship. </w:t>
      </w:r>
      <w:r w:rsidR="00021034">
        <w:t>Finally, a web tool will be used to convey to voters what behaviour they can expect from their elected officials.</w:t>
      </w:r>
    </w:p>
    <w:p w:rsidR="001E0607" w:rsidRDefault="001E0607" w:rsidP="0023172C"/>
    <w:p w:rsidR="003E1522" w:rsidRDefault="003E1522" w:rsidP="0023172C">
      <w:pPr>
        <w:sectPr w:rsidR="003E1522" w:rsidSect="00983CE2">
          <w:footerReference w:type="default" r:id="rId11"/>
          <w:pgSz w:w="11906" w:h="16838"/>
          <w:pgMar w:top="1440" w:right="1440" w:bottom="1440" w:left="1440" w:header="708" w:footer="708" w:gutter="0"/>
          <w:pgNumType w:start="1"/>
          <w:cols w:space="708"/>
          <w:docGrid w:linePitch="360"/>
        </w:sectPr>
      </w:pPr>
    </w:p>
    <w:p w:rsidR="00C677A0" w:rsidRPr="00C677A0" w:rsidRDefault="0023172C" w:rsidP="00C677A0">
      <w:pPr>
        <w:pStyle w:val="Heading1"/>
      </w:pPr>
      <w:bookmarkStart w:id="6" w:name="_Toc52110093"/>
      <w:r>
        <w:lastRenderedPageBreak/>
        <w:t>Sourcing Methodology</w:t>
      </w:r>
      <w:bookmarkEnd w:id="6"/>
    </w:p>
    <w:p w:rsidR="0023172C" w:rsidRDefault="00975F4B" w:rsidP="00C677A0">
      <w:pPr>
        <w:pStyle w:val="Heading2"/>
      </w:pPr>
      <w:bookmarkStart w:id="7" w:name="_Toc52110094"/>
      <w:bookmarkEnd w:id="7"/>
      <w:r>
        <w:t>[Some name that relates to module 2]</w:t>
      </w:r>
    </w:p>
    <w:p w:rsidR="00975F4B" w:rsidRDefault="00975F4B" w:rsidP="00975F4B"/>
    <w:p w:rsidR="00975F4B" w:rsidRPr="00975F4B" w:rsidRDefault="00975F4B" w:rsidP="00975F4B">
      <w:pPr>
        <w:pStyle w:val="Heading2"/>
      </w:pPr>
      <w:r>
        <w:t>[Some name that relates to module 3]</w:t>
      </w:r>
    </w:p>
    <w:p w:rsidR="003E1522" w:rsidRDefault="003E1522" w:rsidP="0023172C"/>
    <w:p w:rsidR="003E1522" w:rsidRDefault="003E1522" w:rsidP="0023172C">
      <w:pPr>
        <w:sectPr w:rsidR="003E1522">
          <w:pgSz w:w="11906" w:h="16838"/>
          <w:pgMar w:top="1440" w:right="1440" w:bottom="1440" w:left="1440" w:header="708" w:footer="708" w:gutter="0"/>
          <w:cols w:space="708"/>
          <w:docGrid w:linePitch="360"/>
        </w:sectPr>
      </w:pPr>
    </w:p>
    <w:p w:rsidR="0023172C" w:rsidRDefault="0023172C" w:rsidP="0023172C">
      <w:pPr>
        <w:pStyle w:val="Heading1"/>
      </w:pPr>
      <w:bookmarkStart w:id="8" w:name="_Toc52110095"/>
      <w:r>
        <w:lastRenderedPageBreak/>
        <w:t>Modelling Methodology</w:t>
      </w:r>
      <w:bookmarkEnd w:id="8"/>
    </w:p>
    <w:p w:rsidR="003E1522" w:rsidRPr="003E1522" w:rsidRDefault="003E1522" w:rsidP="003E1522"/>
    <w:p w:rsidR="0023172C" w:rsidRDefault="0023172C" w:rsidP="0023172C"/>
    <w:p w:rsidR="003E1522" w:rsidRDefault="003E1522" w:rsidP="0023172C"/>
    <w:p w:rsidR="003E1522" w:rsidRDefault="003E1522" w:rsidP="0023172C">
      <w:pPr>
        <w:sectPr w:rsidR="003E1522">
          <w:pgSz w:w="11906" w:h="16838"/>
          <w:pgMar w:top="1440" w:right="1440" w:bottom="1440" w:left="1440" w:header="708" w:footer="708" w:gutter="0"/>
          <w:cols w:space="708"/>
          <w:docGrid w:linePitch="360"/>
        </w:sectPr>
      </w:pPr>
    </w:p>
    <w:p w:rsidR="0023172C" w:rsidRDefault="0023172C" w:rsidP="0023172C">
      <w:pPr>
        <w:pStyle w:val="Heading1"/>
      </w:pPr>
      <w:bookmarkStart w:id="9" w:name="_Toc52110096"/>
      <w:r>
        <w:lastRenderedPageBreak/>
        <w:t>Outcomes and Insights</w:t>
      </w:r>
      <w:bookmarkEnd w:id="9"/>
    </w:p>
    <w:p w:rsidR="003E1522" w:rsidRPr="003E1522" w:rsidRDefault="003E1522" w:rsidP="003E1522"/>
    <w:p w:rsidR="0023172C" w:rsidRDefault="0023172C" w:rsidP="0023172C"/>
    <w:p w:rsidR="003E1522" w:rsidRDefault="003E1522" w:rsidP="0023172C"/>
    <w:p w:rsidR="003E1522" w:rsidRDefault="003E1522" w:rsidP="0023172C">
      <w:pPr>
        <w:sectPr w:rsidR="003E1522">
          <w:pgSz w:w="11906" w:h="16838"/>
          <w:pgMar w:top="1440" w:right="1440" w:bottom="1440" w:left="1440" w:header="708" w:footer="708" w:gutter="0"/>
          <w:cols w:space="708"/>
          <w:docGrid w:linePitch="360"/>
        </w:sectPr>
      </w:pPr>
    </w:p>
    <w:p w:rsidR="0023172C" w:rsidRDefault="0023172C" w:rsidP="0023172C">
      <w:pPr>
        <w:pStyle w:val="Heading1"/>
      </w:pPr>
      <w:bookmarkStart w:id="10" w:name="_Toc52110097"/>
      <w:r>
        <w:lastRenderedPageBreak/>
        <w:t>Summary</w:t>
      </w:r>
      <w:bookmarkEnd w:id="10"/>
    </w:p>
    <w:p w:rsidR="00983CE2" w:rsidRDefault="00983CE2" w:rsidP="00983CE2"/>
    <w:p w:rsidR="00983CE2" w:rsidRDefault="00983CE2" w:rsidP="00983CE2"/>
    <w:p w:rsidR="00983CE2" w:rsidRDefault="00983CE2" w:rsidP="00983CE2">
      <w:pPr>
        <w:pStyle w:val="Heading2"/>
      </w:pPr>
      <w:r>
        <w:t>Response to Feedback</w:t>
      </w:r>
    </w:p>
    <w:p w:rsidR="00983CE2" w:rsidRPr="00983CE2" w:rsidRDefault="00983CE2" w:rsidP="00983CE2"/>
    <w:p w:rsidR="003E1522" w:rsidRDefault="003E1522" w:rsidP="003E1522"/>
    <w:p w:rsidR="00021034" w:rsidRDefault="00021034" w:rsidP="003E1522">
      <w:pPr>
        <w:sectPr w:rsidR="00021034">
          <w:pgSz w:w="11906" w:h="16838"/>
          <w:pgMar w:top="1440" w:right="1440" w:bottom="1440" w:left="1440" w:header="708" w:footer="708" w:gutter="0"/>
          <w:cols w:space="708"/>
          <w:docGrid w:linePitch="360"/>
        </w:sectPr>
      </w:pPr>
    </w:p>
    <w:p w:rsidR="003E1522" w:rsidRDefault="00021034" w:rsidP="00983CE2">
      <w:pPr>
        <w:pStyle w:val="Heading1"/>
        <w:numPr>
          <w:ilvl w:val="0"/>
          <w:numId w:val="0"/>
        </w:numPr>
        <w:ind w:left="360" w:hanging="360"/>
      </w:pPr>
      <w:r>
        <w:lastRenderedPageBreak/>
        <w:t xml:space="preserve">Appendix </w:t>
      </w:r>
      <w:proofErr w:type="gramStart"/>
      <w:r>
        <w:t>A</w:t>
      </w:r>
      <w:proofErr w:type="gramEnd"/>
      <w:r>
        <w:t xml:space="preserve"> – References</w:t>
      </w:r>
    </w:p>
    <w:p w:rsidR="00983CE2" w:rsidRDefault="00983CE2" w:rsidP="00983CE2">
      <w:pPr>
        <w:pStyle w:val="Heading2"/>
        <w:numPr>
          <w:ilvl w:val="0"/>
          <w:numId w:val="0"/>
        </w:numPr>
      </w:pPr>
      <w:r>
        <w:t>Literature</w:t>
      </w:r>
    </w:p>
    <w:p w:rsidR="00983CE2" w:rsidRDefault="00983CE2" w:rsidP="00983CE2">
      <w:r>
        <w:t xml:space="preserve">[1] </w:t>
      </w:r>
      <w:hyperlink r:id="rId12" w:history="1">
        <w:r w:rsidRPr="00361622">
          <w:rPr>
            <w:rStyle w:val="Hyperlink"/>
          </w:rPr>
          <w:t>https://australianelectionstudy.org/</w:t>
        </w:r>
      </w:hyperlink>
      <w:r>
        <w:t xml:space="preserve"> - REFERENCE TO BE CORRECTLY DETAILED</w:t>
      </w:r>
    </w:p>
    <w:p w:rsidR="00983CE2" w:rsidRDefault="00983CE2" w:rsidP="00983CE2"/>
    <w:p w:rsidR="00983CE2" w:rsidRDefault="00983CE2" w:rsidP="00983CE2"/>
    <w:p w:rsidR="00983CE2" w:rsidRDefault="00983CE2" w:rsidP="00983CE2">
      <w:pPr>
        <w:pStyle w:val="Heading2"/>
        <w:numPr>
          <w:ilvl w:val="0"/>
          <w:numId w:val="0"/>
        </w:numPr>
      </w:pPr>
      <w:r>
        <w:t>Datasets</w:t>
      </w:r>
    </w:p>
    <w:p w:rsidR="00983CE2" w:rsidRDefault="00983CE2" w:rsidP="00983CE2"/>
    <w:p w:rsidR="00983CE2" w:rsidRDefault="00983CE2" w:rsidP="00983CE2"/>
    <w:p w:rsidR="00983CE2" w:rsidRDefault="00983CE2" w:rsidP="00983CE2">
      <w:pPr>
        <w:pStyle w:val="Heading2"/>
        <w:numPr>
          <w:ilvl w:val="0"/>
          <w:numId w:val="0"/>
        </w:numPr>
      </w:pPr>
      <w:r>
        <w:t>Code Libraries and Tools</w:t>
      </w:r>
    </w:p>
    <w:p w:rsidR="00983CE2" w:rsidRPr="00983CE2" w:rsidRDefault="00983CE2" w:rsidP="00983CE2"/>
    <w:sectPr w:rsidR="00983CE2" w:rsidRPr="00983CE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D6A" w:rsidRDefault="000B7D6A" w:rsidP="00150D46">
      <w:pPr>
        <w:spacing w:after="0" w:line="240" w:lineRule="auto"/>
      </w:pPr>
      <w:r>
        <w:separator/>
      </w:r>
    </w:p>
  </w:endnote>
  <w:endnote w:type="continuationSeparator" w:id="0">
    <w:p w:rsidR="000B7D6A" w:rsidRDefault="000B7D6A" w:rsidP="0015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75525"/>
      <w:docPartObj>
        <w:docPartGallery w:val="Page Numbers (Bottom of Page)"/>
        <w:docPartUnique/>
      </w:docPartObj>
    </w:sdtPr>
    <w:sdtEndPr>
      <w:rPr>
        <w:noProof/>
      </w:rPr>
    </w:sdtEndPr>
    <w:sdtContent>
      <w:p w:rsidR="00983CE2" w:rsidRDefault="00983CE2">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rsidR="00983CE2" w:rsidRDefault="00983C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CE2" w:rsidRPr="00983CE2" w:rsidRDefault="00983CE2" w:rsidP="00983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D6A" w:rsidRDefault="000B7D6A" w:rsidP="00150D46">
      <w:pPr>
        <w:spacing w:after="0" w:line="240" w:lineRule="auto"/>
      </w:pPr>
      <w:r>
        <w:separator/>
      </w:r>
    </w:p>
  </w:footnote>
  <w:footnote w:type="continuationSeparator" w:id="0">
    <w:p w:rsidR="000B7D6A" w:rsidRDefault="000B7D6A" w:rsidP="00150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357"/>
    <w:multiLevelType w:val="multilevel"/>
    <w:tmpl w:val="D39247AE"/>
    <w:styleLink w:val="Style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B03DC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3462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C86D8B"/>
    <w:multiLevelType w:val="hybridMultilevel"/>
    <w:tmpl w:val="448E7ECA"/>
    <w:lvl w:ilvl="0" w:tplc="816453DA">
      <w:start w:val="1"/>
      <w:numFmt w:val="decimal"/>
      <w:lvlText w:val="%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884E2D"/>
    <w:multiLevelType w:val="multilevel"/>
    <w:tmpl w:val="AC2C8A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B65602"/>
    <w:multiLevelType w:val="hybridMultilevel"/>
    <w:tmpl w:val="3BB2AB48"/>
    <w:lvl w:ilvl="0" w:tplc="965E0E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2C"/>
    <w:rsid w:val="00021034"/>
    <w:rsid w:val="000B7D6A"/>
    <w:rsid w:val="00124488"/>
    <w:rsid w:val="00150D46"/>
    <w:rsid w:val="001E0607"/>
    <w:rsid w:val="0023172C"/>
    <w:rsid w:val="003E1522"/>
    <w:rsid w:val="00467B2E"/>
    <w:rsid w:val="004D23BE"/>
    <w:rsid w:val="004D7A3E"/>
    <w:rsid w:val="00516497"/>
    <w:rsid w:val="005E36EB"/>
    <w:rsid w:val="008F41F0"/>
    <w:rsid w:val="009147FB"/>
    <w:rsid w:val="00975F4B"/>
    <w:rsid w:val="00983CE2"/>
    <w:rsid w:val="00992C21"/>
    <w:rsid w:val="00C677A0"/>
    <w:rsid w:val="00CF2D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6BB97-CF1F-42C9-97F9-FCC6BA82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72C"/>
    <w:pPr>
      <w:jc w:val="both"/>
    </w:pPr>
    <w:rPr>
      <w:rFonts w:ascii="Arial" w:hAnsi="Arial"/>
    </w:rPr>
  </w:style>
  <w:style w:type="paragraph" w:styleId="Heading1">
    <w:name w:val="heading 1"/>
    <w:basedOn w:val="Normal"/>
    <w:next w:val="Normal"/>
    <w:link w:val="Heading1Char"/>
    <w:uiPriority w:val="9"/>
    <w:qFormat/>
    <w:rsid w:val="00C677A0"/>
    <w:pPr>
      <w:keepNext/>
      <w:keepLines/>
      <w:numPr>
        <w:numId w:val="5"/>
      </w:numPr>
      <w:spacing w:after="240"/>
      <w:outlineLvl w:val="0"/>
    </w:pPr>
    <w:rPr>
      <w:rFonts w:ascii="Arial Black" w:eastAsiaTheme="majorEastAsia" w:hAnsi="Arial Black" w:cstheme="majorBidi"/>
      <w:color w:val="002060"/>
      <w:sz w:val="32"/>
      <w:szCs w:val="32"/>
    </w:rPr>
  </w:style>
  <w:style w:type="paragraph" w:styleId="Heading2">
    <w:name w:val="heading 2"/>
    <w:basedOn w:val="Normal"/>
    <w:next w:val="Normal"/>
    <w:link w:val="Heading2Char"/>
    <w:uiPriority w:val="9"/>
    <w:unhideWhenUsed/>
    <w:qFormat/>
    <w:rsid w:val="00C677A0"/>
    <w:pPr>
      <w:keepNext/>
      <w:keepLines/>
      <w:numPr>
        <w:ilvl w:val="1"/>
        <w:numId w:val="5"/>
      </w:numPr>
      <w:spacing w:before="40" w:after="120"/>
      <w:outlineLvl w:val="1"/>
    </w:pPr>
    <w:rPr>
      <w:rFonts w:eastAsiaTheme="majorEastAsia" w:cstheme="majorBidi"/>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A0"/>
    <w:rPr>
      <w:rFonts w:ascii="Arial Black" w:eastAsiaTheme="majorEastAsia" w:hAnsi="Arial Black" w:cstheme="majorBidi"/>
      <w:color w:val="002060"/>
      <w:sz w:val="32"/>
      <w:szCs w:val="32"/>
    </w:rPr>
  </w:style>
  <w:style w:type="character" w:customStyle="1" w:styleId="Heading2Char">
    <w:name w:val="Heading 2 Char"/>
    <w:basedOn w:val="DefaultParagraphFont"/>
    <w:link w:val="Heading2"/>
    <w:uiPriority w:val="9"/>
    <w:rsid w:val="00C677A0"/>
    <w:rPr>
      <w:rFonts w:ascii="Arial" w:eastAsiaTheme="majorEastAsia" w:hAnsi="Arial" w:cstheme="majorBidi"/>
      <w:color w:val="002060"/>
      <w:sz w:val="26"/>
      <w:szCs w:val="26"/>
    </w:rPr>
  </w:style>
  <w:style w:type="paragraph" w:styleId="NoSpacing">
    <w:name w:val="No Spacing"/>
    <w:uiPriority w:val="1"/>
    <w:qFormat/>
    <w:rsid w:val="0023172C"/>
    <w:pPr>
      <w:spacing w:after="0" w:line="240" w:lineRule="auto"/>
      <w:jc w:val="both"/>
    </w:pPr>
    <w:rPr>
      <w:rFonts w:ascii="Arial" w:hAnsi="Arial"/>
    </w:rPr>
  </w:style>
  <w:style w:type="paragraph" w:styleId="TOCHeading">
    <w:name w:val="TOC Heading"/>
    <w:basedOn w:val="Heading1"/>
    <w:next w:val="Normal"/>
    <w:uiPriority w:val="39"/>
    <w:unhideWhenUsed/>
    <w:qFormat/>
    <w:rsid w:val="0023172C"/>
    <w:pPr>
      <w:numPr>
        <w:numId w:val="0"/>
      </w:num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23172C"/>
    <w:pPr>
      <w:spacing w:after="100"/>
    </w:pPr>
  </w:style>
  <w:style w:type="character" w:styleId="Hyperlink">
    <w:name w:val="Hyperlink"/>
    <w:basedOn w:val="DefaultParagraphFont"/>
    <w:uiPriority w:val="99"/>
    <w:unhideWhenUsed/>
    <w:rsid w:val="0023172C"/>
    <w:rPr>
      <w:color w:val="0563C1" w:themeColor="hyperlink"/>
      <w:u w:val="single"/>
    </w:rPr>
  </w:style>
  <w:style w:type="numbering" w:customStyle="1" w:styleId="Style1">
    <w:name w:val="Style1"/>
    <w:uiPriority w:val="99"/>
    <w:rsid w:val="00C677A0"/>
    <w:pPr>
      <w:numPr>
        <w:numId w:val="5"/>
      </w:numPr>
    </w:pPr>
  </w:style>
  <w:style w:type="paragraph" w:styleId="ListParagraph">
    <w:name w:val="List Paragraph"/>
    <w:basedOn w:val="Normal"/>
    <w:uiPriority w:val="34"/>
    <w:qFormat/>
    <w:rsid w:val="00516497"/>
    <w:pPr>
      <w:ind w:left="720"/>
      <w:contextualSpacing/>
    </w:pPr>
  </w:style>
  <w:style w:type="paragraph" w:styleId="TOC2">
    <w:name w:val="toc 2"/>
    <w:basedOn w:val="Normal"/>
    <w:next w:val="Normal"/>
    <w:autoRedefine/>
    <w:uiPriority w:val="39"/>
    <w:unhideWhenUsed/>
    <w:rsid w:val="008F41F0"/>
    <w:pPr>
      <w:spacing w:after="100"/>
      <w:ind w:left="220"/>
    </w:pPr>
  </w:style>
  <w:style w:type="paragraph" w:styleId="Header">
    <w:name w:val="header"/>
    <w:basedOn w:val="Normal"/>
    <w:link w:val="HeaderChar"/>
    <w:uiPriority w:val="99"/>
    <w:unhideWhenUsed/>
    <w:rsid w:val="0015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D46"/>
    <w:rPr>
      <w:rFonts w:ascii="Arial" w:hAnsi="Arial"/>
    </w:rPr>
  </w:style>
  <w:style w:type="paragraph" w:styleId="Footer">
    <w:name w:val="footer"/>
    <w:basedOn w:val="Normal"/>
    <w:link w:val="FooterChar"/>
    <w:uiPriority w:val="99"/>
    <w:unhideWhenUsed/>
    <w:rsid w:val="0015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D46"/>
    <w:rPr>
      <w:rFonts w:ascii="Arial" w:hAnsi="Arial"/>
    </w:rPr>
  </w:style>
  <w:style w:type="paragraph" w:styleId="Caption">
    <w:name w:val="caption"/>
    <w:basedOn w:val="Normal"/>
    <w:next w:val="Normal"/>
    <w:uiPriority w:val="35"/>
    <w:unhideWhenUsed/>
    <w:qFormat/>
    <w:rsid w:val="004D7A3E"/>
    <w:pPr>
      <w:spacing w:after="200" w:line="240" w:lineRule="auto"/>
      <w:jc w:val="left"/>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stralianelectionstud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Satisfaction with Democracy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0.11889582648701941"/>
          <c:w val="0.88744055944055944"/>
          <c:h val="0.73602769749082053"/>
        </c:manualLayout>
      </c:layout>
      <c:scatterChart>
        <c:scatterStyle val="lineMarker"/>
        <c:varyColors val="0"/>
        <c:ser>
          <c:idx val="0"/>
          <c:order val="0"/>
          <c:tx>
            <c:v>Satisfied with Democracy</c:v>
          </c:tx>
          <c:spPr>
            <a:ln w="19050" cap="rnd">
              <a:solidFill>
                <a:schemeClr val="accent3">
                  <a:lumMod val="75000"/>
                </a:schemeClr>
              </a:solidFill>
              <a:round/>
            </a:ln>
            <a:effectLst/>
          </c:spPr>
          <c:marker>
            <c:symbol val="none"/>
          </c:marker>
          <c:dLbls>
            <c:dLbl>
              <c:idx val="0"/>
              <c:layout>
                <c:manualLayout>
                  <c:x val="-6.7086614173228351E-2"/>
                  <c:y val="-4.6294838145231844E-3"/>
                </c:manualLayout>
              </c:layout>
              <c:showLegendKey val="0"/>
              <c:showVal val="1"/>
              <c:showCatName val="0"/>
              <c:showSerName val="0"/>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29077011177798584"/>
                  <c:y val="3.6004150483489893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Satisfied</a:t>
                    </a: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7917"/>
                        <a:gd name="adj2" fmla="val 24940"/>
                      </a:avLst>
                    </a:prstGeom>
                    <a:noFill/>
                    <a:ln>
                      <a:noFill/>
                    </a:ln>
                  </c15:spPr>
                </c:ext>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Sheet1!$B$1:$B$11</c:f>
              <c:numCache>
                <c:formatCode>0%</c:formatCode>
                <c:ptCount val="11"/>
                <c:pt idx="0">
                  <c:v>0.77</c:v>
                </c:pt>
                <c:pt idx="1">
                  <c:v>0.56000000000000005</c:v>
                </c:pt>
                <c:pt idx="2">
                  <c:v>0.78</c:v>
                </c:pt>
                <c:pt idx="3">
                  <c:v>0.71</c:v>
                </c:pt>
                <c:pt idx="4">
                  <c:v>0.74</c:v>
                </c:pt>
                <c:pt idx="5">
                  <c:v>0.82</c:v>
                </c:pt>
                <c:pt idx="6">
                  <c:v>0.86</c:v>
                </c:pt>
                <c:pt idx="7">
                  <c:v>0.72</c:v>
                </c:pt>
                <c:pt idx="8">
                  <c:v>0.72</c:v>
                </c:pt>
                <c:pt idx="9">
                  <c:v>0.6</c:v>
                </c:pt>
                <c:pt idx="10">
                  <c:v>0.59</c:v>
                </c:pt>
              </c:numCache>
            </c:numRef>
          </c:yVal>
          <c:smooth val="0"/>
        </c:ser>
        <c:ser>
          <c:idx val="1"/>
          <c:order val="1"/>
          <c:tx>
            <c:v>Not Satisfied with Democracy</c:v>
          </c:tx>
          <c:spPr>
            <a:ln w="19050" cap="rnd">
              <a:solidFill>
                <a:schemeClr val="accent1">
                  <a:lumMod val="60000"/>
                  <a:lumOff val="40000"/>
                </a:schemeClr>
              </a:solidFill>
              <a:round/>
            </a:ln>
            <a:effectLst/>
          </c:spPr>
          <c:marker>
            <c:symbol val="none"/>
          </c:marker>
          <c:dLbls>
            <c:dLbl>
              <c:idx val="0"/>
              <c:layout>
                <c:manualLayout>
                  <c:x val="-6.7132867132867147E-2"/>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32167832167832172"/>
                  <c:y val="-4.600722970752546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Not</a:t>
                    </a:r>
                    <a:r>
                      <a:rPr lang="en-US" b="1" baseline="0">
                        <a:solidFill>
                          <a:schemeClr val="accent1">
                            <a:lumMod val="60000"/>
                            <a:lumOff val="40000"/>
                          </a:schemeClr>
                        </a:solidFill>
                      </a:rPr>
                      <a:t> Satisfied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5184"/>
                        <a:gd name="adj2" fmla="val 15900"/>
                      </a:avLst>
                    </a:prstGeom>
                    <a:noFill/>
                    <a:ln>
                      <a:noFill/>
                    </a:ln>
                  </c15:spPr>
                </c:ext>
              </c:extLst>
            </c:dLbl>
            <c:dLbl>
              <c:idx val="1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Sheet1!$C$1:$C$11</c:f>
              <c:numCache>
                <c:formatCode>0%</c:formatCode>
                <c:ptCount val="11"/>
                <c:pt idx="0">
                  <c:v>0.23</c:v>
                </c:pt>
                <c:pt idx="1">
                  <c:v>0.45</c:v>
                </c:pt>
                <c:pt idx="2">
                  <c:v>0.22</c:v>
                </c:pt>
                <c:pt idx="3">
                  <c:v>0.28999999999999998</c:v>
                </c:pt>
                <c:pt idx="4">
                  <c:v>0.26</c:v>
                </c:pt>
                <c:pt idx="5">
                  <c:v>0.18</c:v>
                </c:pt>
                <c:pt idx="6">
                  <c:v>0.14000000000000001</c:v>
                </c:pt>
                <c:pt idx="7">
                  <c:v>0.28999999999999998</c:v>
                </c:pt>
                <c:pt idx="8">
                  <c:v>0.28000000000000003</c:v>
                </c:pt>
                <c:pt idx="9">
                  <c:v>0.4</c:v>
                </c:pt>
                <c:pt idx="10">
                  <c:v>0.41</c:v>
                </c:pt>
              </c:numCache>
            </c:numRef>
          </c:yVal>
          <c:smooth val="0"/>
        </c:ser>
        <c:dLbls>
          <c:showLegendKey val="0"/>
          <c:showVal val="0"/>
          <c:showCatName val="0"/>
          <c:showSerName val="0"/>
          <c:showPercent val="0"/>
          <c:showBubbleSize val="0"/>
        </c:dLbls>
        <c:axId val="509754160"/>
        <c:axId val="509757296"/>
      </c:scatterChart>
      <c:valAx>
        <c:axId val="509754160"/>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7296"/>
        <c:crosses val="autoZero"/>
        <c:crossBetween val="midCat"/>
      </c:valAx>
      <c:valAx>
        <c:axId val="509757296"/>
        <c:scaling>
          <c:orientation val="minMax"/>
        </c:scaling>
        <c:delete val="1"/>
        <c:axPos val="l"/>
        <c:numFmt formatCode="0%" sourceLinked="1"/>
        <c:majorTickMark val="none"/>
        <c:minorTickMark val="none"/>
        <c:tickLblPos val="nextTo"/>
        <c:crossAx val="5097541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Trust</a:t>
            </a:r>
            <a:r>
              <a:rPr lang="en-AU" baseline="0"/>
              <a:t> in Government</a:t>
            </a:r>
            <a:endParaRPr lang="en-AU"/>
          </a:p>
        </c:rich>
      </c:tx>
      <c:layout>
        <c:manualLayout>
          <c:xMode val="edge"/>
          <c:yMode val="edge"/>
          <c:x val="0.33957337151037936"/>
          <c:y val="2.2222222222222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6.7166666666666666E-2"/>
          <c:w val="0.88744055944055944"/>
          <c:h val="0.80645669291338584"/>
        </c:manualLayout>
      </c:layout>
      <c:scatterChart>
        <c:scatterStyle val="lineMarker"/>
        <c:varyColors val="0"/>
        <c:ser>
          <c:idx val="0"/>
          <c:order val="0"/>
          <c:tx>
            <c:v>People in Government Look After Themselves</c:v>
          </c:tx>
          <c:spPr>
            <a:ln w="19050" cap="rnd">
              <a:solidFill>
                <a:schemeClr val="accent3">
                  <a:lumMod val="75000"/>
                </a:schemeClr>
              </a:solidFill>
              <a:round/>
            </a:ln>
            <a:effectLst/>
          </c:spPr>
          <c:marker>
            <c:symbol val="none"/>
          </c:marker>
          <c:dLbls>
            <c:dLbl>
              <c:idx val="0"/>
              <c:layout>
                <c:manualLayout>
                  <c:x val="-6.9930069930069935E-2"/>
                  <c:y val="3.33333333333333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41678321678321678"/>
                  <c:y val="8.6805555555555552E-2"/>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People</a:t>
                    </a:r>
                    <a:r>
                      <a:rPr lang="en-US" b="1" baseline="0">
                        <a:solidFill>
                          <a:schemeClr val="accent3">
                            <a:lumMod val="75000"/>
                          </a:schemeClr>
                        </a:solidFill>
                      </a:rPr>
                      <a:t> in Government Look </a:t>
                    </a:r>
                  </a:p>
                  <a:p>
                    <a:pPr>
                      <a:defRPr b="1">
                        <a:solidFill>
                          <a:schemeClr val="accent3">
                            <a:lumMod val="75000"/>
                          </a:schemeClr>
                        </a:solidFill>
                      </a:defRPr>
                    </a:pPr>
                    <a:r>
                      <a:rPr lang="en-US" b="1" baseline="0">
                        <a:solidFill>
                          <a:schemeClr val="accent3">
                            <a:lumMod val="75000"/>
                          </a:schemeClr>
                        </a:solidFill>
                      </a:rPr>
                      <a:t>After Themselves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50236418699410823"/>
                      <c:h val="0.17637795275590551"/>
                    </c:manualLayout>
                  </c15:layout>
                </c:ext>
              </c:extLst>
            </c:dLbl>
            <c:dLbl>
              <c:idx val="11"/>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Sheet1!$B$13:$B$24</c:f>
              <c:numCache>
                <c:formatCode>0%</c:formatCode>
                <c:ptCount val="12"/>
                <c:pt idx="0">
                  <c:v>0.49</c:v>
                </c:pt>
                <c:pt idx="1">
                  <c:v>0.71</c:v>
                </c:pt>
                <c:pt idx="2">
                  <c:v>0.66</c:v>
                </c:pt>
                <c:pt idx="3">
                  <c:v>0.52</c:v>
                </c:pt>
                <c:pt idx="4">
                  <c:v>0.67</c:v>
                </c:pt>
                <c:pt idx="5">
                  <c:v>0.68</c:v>
                </c:pt>
                <c:pt idx="6">
                  <c:v>0.61</c:v>
                </c:pt>
                <c:pt idx="7">
                  <c:v>0.56999999999999995</c:v>
                </c:pt>
                <c:pt idx="8">
                  <c:v>0.63</c:v>
                </c:pt>
                <c:pt idx="9">
                  <c:v>0.66</c:v>
                </c:pt>
                <c:pt idx="10">
                  <c:v>0.74</c:v>
                </c:pt>
                <c:pt idx="11">
                  <c:v>0.75</c:v>
                </c:pt>
              </c:numCache>
            </c:numRef>
          </c:yVal>
          <c:smooth val="0"/>
        </c:ser>
        <c:ser>
          <c:idx val="1"/>
          <c:order val="1"/>
          <c:tx>
            <c:v>People in Government can be Trusted</c:v>
          </c:tx>
          <c:spPr>
            <a:ln w="19050" cap="rnd">
              <a:solidFill>
                <a:schemeClr val="accent1">
                  <a:lumMod val="60000"/>
                  <a:lumOff val="40000"/>
                </a:schemeClr>
              </a:solidFill>
              <a:round/>
            </a:ln>
            <a:effectLst/>
          </c:spPr>
          <c:marker>
            <c:symbol val="none"/>
          </c:marker>
          <c:dLbls>
            <c:dLbl>
              <c:idx val="0"/>
              <c:layout>
                <c:manualLayout>
                  <c:x val="-6.9930069930069949E-2"/>
                  <c:y val="-1.666666666666671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25734265734265732"/>
                  <c:y val="0.12847222222222221"/>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People</a:t>
                    </a:r>
                    <a:r>
                      <a:rPr lang="en-US" b="1" baseline="0">
                        <a:solidFill>
                          <a:schemeClr val="accent1">
                            <a:lumMod val="60000"/>
                            <a:lumOff val="40000"/>
                          </a:schemeClr>
                        </a:solidFill>
                      </a:rPr>
                      <a:t> in Government Can Be Trusted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956742470128297"/>
                      <c:h val="0.1757370953630796"/>
                    </c:manualLayout>
                  </c15:layout>
                </c:ext>
              </c:extLst>
            </c:dLbl>
            <c:dLbl>
              <c:idx val="11"/>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Sheet1!$C$13:$C$24</c:f>
              <c:numCache>
                <c:formatCode>0%</c:formatCode>
                <c:ptCount val="12"/>
                <c:pt idx="0">
                  <c:v>0.51</c:v>
                </c:pt>
                <c:pt idx="1">
                  <c:v>0.28999999999999998</c:v>
                </c:pt>
                <c:pt idx="2">
                  <c:v>0.34</c:v>
                </c:pt>
                <c:pt idx="3">
                  <c:v>0.48</c:v>
                </c:pt>
                <c:pt idx="4">
                  <c:v>0.34</c:v>
                </c:pt>
                <c:pt idx="5">
                  <c:v>0.32</c:v>
                </c:pt>
                <c:pt idx="6">
                  <c:v>0.4</c:v>
                </c:pt>
                <c:pt idx="7">
                  <c:v>0.43</c:v>
                </c:pt>
                <c:pt idx="8">
                  <c:v>0.37</c:v>
                </c:pt>
                <c:pt idx="9">
                  <c:v>0.34</c:v>
                </c:pt>
                <c:pt idx="10">
                  <c:v>0.26</c:v>
                </c:pt>
                <c:pt idx="11">
                  <c:v>0.25</c:v>
                </c:pt>
              </c:numCache>
            </c:numRef>
          </c:yVal>
          <c:smooth val="0"/>
        </c:ser>
        <c:dLbls>
          <c:showLegendKey val="0"/>
          <c:showVal val="0"/>
          <c:showCatName val="0"/>
          <c:showSerName val="0"/>
          <c:showPercent val="0"/>
          <c:showBubbleSize val="0"/>
        </c:dLbls>
        <c:axId val="509759256"/>
        <c:axId val="509755336"/>
      </c:scatterChart>
      <c:valAx>
        <c:axId val="509759256"/>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5336"/>
        <c:crosses val="autoZero"/>
        <c:crossBetween val="midCat"/>
      </c:valAx>
      <c:valAx>
        <c:axId val="509755336"/>
        <c:scaling>
          <c:orientation val="minMax"/>
          <c:max val="0.85000000000000009"/>
          <c:min val="0.15000000000000002"/>
        </c:scaling>
        <c:delete val="1"/>
        <c:axPos val="l"/>
        <c:numFmt formatCode="0%" sourceLinked="1"/>
        <c:majorTickMark val="out"/>
        <c:minorTickMark val="none"/>
        <c:tickLblPos val="nextTo"/>
        <c:crossAx val="509759256"/>
        <c:crosses val="autoZero"/>
        <c:crossBetween val="midCat"/>
      </c:valAx>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Who the Government is Run For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7.8277777777777779E-2"/>
          <c:w val="0.88744055944055944"/>
          <c:h val="0.82062073490813647"/>
        </c:manualLayout>
      </c:layout>
      <c:scatterChart>
        <c:scatterStyle val="lineMarker"/>
        <c:varyColors val="0"/>
        <c:ser>
          <c:idx val="0"/>
          <c:order val="0"/>
          <c:tx>
            <c:v>Few Big Interests</c:v>
          </c:tx>
          <c:spPr>
            <a:ln w="19050" cap="rnd">
              <a:solidFill>
                <a:schemeClr val="accent3">
                  <a:lumMod val="75000"/>
                </a:schemeClr>
              </a:solidFill>
              <a:round/>
            </a:ln>
            <a:effectLst/>
          </c:spPr>
          <c:marker>
            <c:symbol val="none"/>
          </c:marker>
          <c:dLbls>
            <c:dLbl>
              <c:idx val="0"/>
              <c:layout>
                <c:manualLayout>
                  <c:x val="-6.9930069930069949E-2"/>
                  <c:y val="0"/>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31048951048951057"/>
                  <c:y val="-6.9444444444444441E-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Few</a:t>
                    </a:r>
                    <a:r>
                      <a:rPr lang="en-US" b="1" baseline="0">
                        <a:solidFill>
                          <a:schemeClr val="accent3">
                            <a:lumMod val="75000"/>
                          </a:schemeClr>
                        </a:solidFill>
                      </a:rPr>
                      <a:t> Big Interests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30857"/>
                        <a:gd name="adj2" fmla="val -2539"/>
                      </a:avLst>
                    </a:prstGeom>
                    <a:noFill/>
                    <a:ln>
                      <a:noFill/>
                    </a:ln>
                  </c15:spPr>
                </c:ext>
              </c:extLst>
            </c:dLbl>
            <c:dLbl>
              <c:idx val="7"/>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Sheet1!$B$26:$B$33</c:f>
              <c:numCache>
                <c:formatCode>0%</c:formatCode>
                <c:ptCount val="8"/>
                <c:pt idx="0">
                  <c:v>0.53</c:v>
                </c:pt>
                <c:pt idx="1">
                  <c:v>0.48</c:v>
                </c:pt>
                <c:pt idx="2">
                  <c:v>0.42</c:v>
                </c:pt>
                <c:pt idx="3">
                  <c:v>0.38</c:v>
                </c:pt>
                <c:pt idx="4">
                  <c:v>0.44</c:v>
                </c:pt>
                <c:pt idx="5">
                  <c:v>0.47</c:v>
                </c:pt>
                <c:pt idx="6">
                  <c:v>0.56000000000000005</c:v>
                </c:pt>
                <c:pt idx="7">
                  <c:v>0.56000000000000005</c:v>
                </c:pt>
              </c:numCache>
            </c:numRef>
          </c:yVal>
          <c:smooth val="0"/>
        </c:ser>
        <c:ser>
          <c:idx val="1"/>
          <c:order val="1"/>
          <c:tx>
            <c:v>All the People</c:v>
          </c:tx>
          <c:spPr>
            <a:ln w="19050" cap="rnd">
              <a:solidFill>
                <a:schemeClr val="accent1">
                  <a:lumMod val="60000"/>
                  <a:lumOff val="40000"/>
                </a:schemeClr>
              </a:solidFill>
              <a:round/>
            </a:ln>
            <a:effectLst/>
          </c:spPr>
          <c:marker>
            <c:symbol val="none"/>
          </c:marker>
          <c:dLbls>
            <c:dLbl>
              <c:idx val="0"/>
              <c:layout>
                <c:manualLayout>
                  <c:x val="-6.9930069930069949E-2"/>
                  <c:y val="1.1111111111111112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29370629370629375"/>
                  <c:y val="-5.555555555555555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All</a:t>
                    </a:r>
                    <a:r>
                      <a:rPr lang="en-US" b="1" baseline="0">
                        <a:solidFill>
                          <a:schemeClr val="accent1">
                            <a:lumMod val="60000"/>
                            <a:lumOff val="40000"/>
                          </a:schemeClr>
                        </a:solidFill>
                      </a:rPr>
                      <a:t> the People</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dLbl>
              <c:idx val="7"/>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Sheet1!$C$26:$C$33</c:f>
              <c:numCache>
                <c:formatCode>0%</c:formatCode>
                <c:ptCount val="8"/>
                <c:pt idx="0">
                  <c:v>0.12</c:v>
                </c:pt>
                <c:pt idx="1">
                  <c:v>0.17</c:v>
                </c:pt>
                <c:pt idx="2">
                  <c:v>0.21</c:v>
                </c:pt>
                <c:pt idx="3">
                  <c:v>0.2</c:v>
                </c:pt>
                <c:pt idx="4">
                  <c:v>0.12</c:v>
                </c:pt>
                <c:pt idx="5">
                  <c:v>0.16</c:v>
                </c:pt>
                <c:pt idx="6">
                  <c:v>0.12</c:v>
                </c:pt>
                <c:pt idx="7">
                  <c:v>0.12</c:v>
                </c:pt>
              </c:numCache>
            </c:numRef>
          </c:yVal>
          <c:smooth val="0"/>
        </c:ser>
        <c:dLbls>
          <c:showLegendKey val="0"/>
          <c:showVal val="0"/>
          <c:showCatName val="0"/>
          <c:showSerName val="0"/>
          <c:showPercent val="0"/>
          <c:showBubbleSize val="0"/>
        </c:dLbls>
        <c:axId val="509761216"/>
        <c:axId val="509758080"/>
      </c:scatterChart>
      <c:valAx>
        <c:axId val="509761216"/>
        <c:scaling>
          <c:orientation val="minMax"/>
          <c:max val="2019"/>
          <c:min val="1998"/>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8080"/>
        <c:crosses val="autoZero"/>
        <c:crossBetween val="midCat"/>
      </c:valAx>
      <c:valAx>
        <c:axId val="509758080"/>
        <c:scaling>
          <c:orientation val="minMax"/>
        </c:scaling>
        <c:delete val="1"/>
        <c:axPos val="l"/>
        <c:numFmt formatCode="0%" sourceLinked="1"/>
        <c:majorTickMark val="none"/>
        <c:minorTickMark val="none"/>
        <c:tickLblPos val="nextTo"/>
        <c:crossAx val="5097612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5995D9-AD35-4A91-AE82-788B869E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Colwell</dc:creator>
  <cp:keywords/>
  <dc:description/>
  <cp:lastModifiedBy>Matt Colwell</cp:lastModifiedBy>
  <cp:revision>2</cp:revision>
  <dcterms:created xsi:type="dcterms:W3CDTF">2020-09-23T09:49:00Z</dcterms:created>
  <dcterms:modified xsi:type="dcterms:W3CDTF">2020-09-27T08:17:00Z</dcterms:modified>
</cp:coreProperties>
</file>