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400"/>
        <w:jc w:val="center"/>
      </w:pPr>
      <w:r>
        <w:rPr>
          <w:b/>
          <w:bCs/>
          <w:color w:val="1F3864"/>
          <w:sz w:val="44"/>
          <w:szCs w:val="44"/>
        </w:rPr>
        <w:t xml:space="preserve">INFORME DE AVANCE</w:t>
      </w:r>
    </w:p>
    <w:p>
      <w:pPr>
        <w:spacing w:after="300"/>
        <w:jc w:val="center"/>
      </w:pPr>
      <w:r>
        <w:rPr>
          <w:b/>
          <w:bCs/>
          <w:color w:val="2E5395"/>
          <w:sz w:val="30"/>
          <w:szCs w:val="30"/>
        </w:rPr>
        <w:t xml:space="preserve">Proyecto Final Data Science — YPF / Vaca Muerta</w:t>
      </w:r>
    </w:p>
    <w:p>
      <w:pPr>
        <w:spacing w:after="500"/>
        <w:jc w:val="center"/>
      </w:pPr>
      <w:r>
        <w:rPr>
          <w:i/>
          <w:iCs/>
          <w:color w:val="595959"/>
          <w:sz w:val="22"/>
          <w:szCs w:val="22"/>
        </w:rPr>
        <w:t xml:space="preserve">Predicción y Optimización de la Producción de Hidrocarburos No Convencionales</w:t>
      </w:r>
    </w:p>
    <w:p>
      <w:pPr>
        <w:jc w:val="center"/>
      </w:pPr>
      <w:r>
        <w:rPr>
          <w:sz w:val="22"/>
          <w:szCs w:val="22"/>
        </w:rPr>
        <w:t xml:space="preserve">Período: 3 de septiembre al 10 de octubre de 2026</w:t>
      </w:r>
    </w:p>
    <w:p>
      <w:pPr>
        <w:spacing w:after="400"/>
        <w:jc w:val="center"/>
      </w:pPr>
      <w:r>
        <w:rPr>
          <w:i/>
          <w:iCs/>
          <w:color w:val="444444"/>
          <w:sz w:val="22"/>
          <w:szCs w:val="22"/>
        </w:rPr>
        <w:t xml:space="preserve">Etapa actual: Modelado No Supervisado (clustering K-Means) — CERRADO, tras corregir una primera versión con outliers. Próximo paso: explicabilidad (SHAP) y Entrega Final.</w:t>
      </w:r>
    </w:p>
    <w:p>
      <w:r>
        <w:br w:type="page"/>
      </w:r>
    </w:p>
    <w:p>
      <w:pPr>
        <w:pBdr>
          <w:bottom w:val="single" w:color="1F3864" w:sz="6" w:space="4"/>
        </w:pBdr>
        <w:spacing w:after="200" w:before="100"/>
      </w:pPr>
    </w:p>
    <w:p>
      <w:pPr>
        <w:pStyle w:val="Heading1"/>
        <w:pBdr>
          <w:bottom w:val="single" w:color="9DB3D6" w:sz="4" w:space="4"/>
        </w:pBdr>
        <w:spacing w:after="180" w:before="360"/>
      </w:pPr>
      <w:r>
        <w:rPr>
          <w:b/>
          <w:bCs/>
          <w:i w:val="false"/>
          <w:iCs w:val="false"/>
          <w:color w:val="1F3864"/>
          <w:sz w:val="30"/>
          <w:szCs w:val="30"/>
        </w:rPr>
        <w:t xml:space="preserve">1. Objetivo del proyecto</w:t>
      </w:r>
    </w:p>
    <w:p>
      <w:pPr>
        <w:spacing w:after="1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Predecir la curva de producción acumulada mensual de petróleo y gas en pozos no convencionales (shale/tight) de la cuenca Neuquina, a partir de parámetros geológicos y de completación, usando regresión supervisada (XGBoost / LightGBM) y clustering no supervisado (K-Means) para agrupar pozos según su curva de declinación.</w:t>
      </w:r>
    </w:p>
    <w:p>
      <w:pPr>
        <w:pBdr>
          <w:bottom w:val="single" w:color="1F3864" w:sz="6" w:space="4"/>
        </w:pBdr>
        <w:spacing w:after="200" w:before="100"/>
      </w:pPr>
    </w:p>
    <w:p>
      <w:pPr>
        <w:pStyle w:val="Heading1"/>
        <w:pBdr>
          <w:bottom w:val="single" w:color="9DB3D6" w:sz="4" w:space="4"/>
        </w:pBdr>
        <w:spacing w:after="180" w:before="360"/>
      </w:pPr>
      <w:r>
        <w:rPr>
          <w:b/>
          <w:bCs/>
          <w:i w:val="false"/>
          <w:iCs w:val="false"/>
          <w:color w:val="1F3864"/>
          <w:sz w:val="30"/>
          <w:szCs w:val="30"/>
        </w:rPr>
        <w:t xml:space="preserve">2. Fuente de datos</w:t>
      </w:r>
    </w:p>
    <w:p>
      <w:pPr>
        <w:spacing w:after="1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Se identificó y descargó el dataset oficial de la </w:t>
      </w:r>
      <w:r>
        <w:rPr>
          <w:b/>
          <w:bCs/>
          <w:i w:val="false"/>
          <w:iCs w:val="false"/>
          <w:sz w:val="22"/>
          <w:szCs w:val="22"/>
        </w:rPr>
        <w:t xml:space="preserve">Secretaría de Energía de la Nación Argentina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dentro del dataset "Producción de petróleo y gas por pozo (Capítulo IV)":</w:t>
      </w:r>
    </w:p>
    <w:p>
      <w:pPr>
        <w:spacing w:after="100"/>
        <w:ind w:left="300"/>
      </w:pPr>
      <w:r>
        <w:rPr>
          <w:b/>
          <w:bCs/>
          <w:color w:val="1F3864"/>
          <w:sz w:val="22"/>
          <w:szCs w:val="22"/>
        </w:rPr>
        <w:t xml:space="preserve">• </w:t>
      </w:r>
      <w:r>
        <w:rPr>
          <w:b/>
          <w:bCs/>
          <w:i w:val="false"/>
          <w:iCs w:val="false"/>
          <w:sz w:val="22"/>
          <w:szCs w:val="22"/>
        </w:rPr>
        <w:t xml:space="preserve">Archivo principal: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</w:t>
      </w:r>
      <w:r>
        <w:rPr>
          <w:b w:val="false"/>
          <w:bCs w:val="false"/>
          <w:i/>
          <w:iCs/>
          <w:sz w:val="22"/>
          <w:szCs w:val="22"/>
        </w:rPr>
        <w:t xml:space="preserve">Producción de Pozos de Gas y Petróleo No Convencional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— ya viene filtrado a pozos shale/tight, evitando tener que separarlos manualmente del resto del universo de pozos convencionales.</w:t>
      </w:r>
    </w:p>
    <w:p>
      <w:pPr>
        <w:spacing w:after="100"/>
        <w:ind w:left="300"/>
      </w:pPr>
      <w:r>
        <w:rPr>
          <w:b/>
          <w:bCs/>
          <w:color w:val="1F3864"/>
          <w:sz w:val="22"/>
          <w:szCs w:val="22"/>
        </w:rPr>
        <w:t xml:space="preserve">• </w:t>
      </w:r>
      <w:r>
        <w:rPr>
          <w:b/>
          <w:bCs/>
          <w:i w:val="false"/>
          <w:iCs w:val="false"/>
          <w:sz w:val="22"/>
          <w:szCs w:val="22"/>
        </w:rPr>
        <w:t xml:space="preserve">Archivo complementario: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</w:t>
      </w:r>
      <w:r>
        <w:rPr>
          <w:b w:val="false"/>
          <w:bCs w:val="false"/>
          <w:i/>
          <w:iCs/>
          <w:sz w:val="22"/>
          <w:szCs w:val="22"/>
        </w:rPr>
        <w:t xml:space="preserve">Capítulo IV - Pozos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— metadatos de pozos (se descargó pero, como se detalla más abajo, no resultó necesario para el cruce inicial).</w:t>
      </w:r>
    </w:p>
    <w:p>
      <w:pPr>
        <w:spacing w:after="1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Portal: https://datos.gob.ar/dataset/energia-produccion-petroleo-gas-por-pozo-capitulo-iv</w:t>
      </w:r>
    </w:p>
    <w:p>
      <w:pPr>
        <w:spacing w:after="160"/>
        <w:jc w:val="both"/>
      </w:pPr>
      <w:r>
        <w:rPr>
          <w:b/>
          <w:bCs/>
          <w:i w:val="false"/>
          <w:iCs w:val="false"/>
          <w:sz w:val="22"/>
          <w:szCs w:val="22"/>
        </w:rPr>
        <w:t xml:space="preserve">Nota: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una primera exploración en Google Colab había mostrado solo 5.701 filas (2015-2018), lo cual resultó ser una muestra parcial. El archivo efectivamente cargado en el entorno de trabajo (VS Code) contiene el histórico completo.</w:t>
      </w:r>
    </w:p>
    <w:p>
      <w:pPr>
        <w:pBdr>
          <w:bottom w:val="single" w:color="1F3864" w:sz="6" w:space="4"/>
        </w:pBdr>
        <w:spacing w:after="200" w:before="100"/>
      </w:pPr>
    </w:p>
    <w:p>
      <w:pPr>
        <w:pStyle w:val="Heading1"/>
        <w:pBdr>
          <w:bottom w:val="single" w:color="9DB3D6" w:sz="4" w:space="4"/>
        </w:pBdr>
        <w:spacing w:after="180" w:before="360"/>
      </w:pPr>
      <w:r>
        <w:rPr>
          <w:b/>
          <w:bCs/>
          <w:i w:val="false"/>
          <w:iCs w:val="false"/>
          <w:color w:val="1F3864"/>
          <w:sz w:val="30"/>
          <w:szCs w:val="30"/>
        </w:rPr>
        <w:t xml:space="preserve">3. Entorno de trabajo</w:t>
      </w:r>
    </w:p>
    <w:p>
      <w:pPr>
        <w:spacing w:after="100"/>
        <w:ind w:left="300"/>
      </w:pPr>
      <w:r>
        <w:rPr>
          <w:b/>
          <w:bCs/>
          <w:color w:val="1F3864"/>
          <w:sz w:val="22"/>
          <w:szCs w:val="22"/>
        </w:rPr>
        <w:t xml:space="preserve">• </w:t>
      </w:r>
      <w:r>
        <w:rPr>
          <w:b/>
          <w:bCs/>
          <w:i w:val="false"/>
          <w:iCs w:val="false"/>
          <w:sz w:val="22"/>
          <w:szCs w:val="22"/>
        </w:rPr>
        <w:t xml:space="preserve">Estructura de repositorio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creada según el estándar del curso (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data/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notebooks/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src/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api/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models/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reports/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más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Dockerfile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requirements.txt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README.md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).</w:t>
      </w:r>
    </w:p>
    <w:p>
      <w:pPr>
        <w:spacing w:after="100"/>
        <w:ind w:left="300"/>
      </w:pPr>
      <w:r>
        <w:rPr>
          <w:b/>
          <w:bCs/>
          <w:color w:val="1F3864"/>
          <w:sz w:val="22"/>
          <w:szCs w:val="22"/>
        </w:rPr>
        <w:t xml:space="preserve">• </w:t>
      </w:r>
      <w:r>
        <w:rPr>
          <w:b/>
          <w:bCs/>
          <w:i w:val="false"/>
          <w:iCs w:val="false"/>
          <w:sz w:val="22"/>
          <w:szCs w:val="22"/>
        </w:rPr>
        <w:t xml:space="preserve">Entorno virtual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creado con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python3 -m venv venv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(Python 3.14.6, instalado vía Homebrew) para aislar las dependencias del sistema operativo.</w:t>
      </w:r>
    </w:p>
    <w:p>
      <w:pPr>
        <w:spacing w:after="100"/>
        <w:ind w:left="300"/>
      </w:pPr>
      <w:r>
        <w:rPr>
          <w:b/>
          <w:bCs/>
          <w:color w:val="1F3864"/>
          <w:sz w:val="22"/>
          <w:szCs w:val="22"/>
        </w:rPr>
        <w:t xml:space="preserve">•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venv/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agregado a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.gitignore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para no versionarlo.</w:t>
      </w:r>
    </w:p>
    <w:p>
      <w:pPr>
        <w:spacing w:after="100"/>
        <w:ind w:left="300"/>
      </w:pPr>
      <w:r>
        <w:rPr>
          <w:b/>
          <w:bCs/>
          <w:color w:val="1F3864"/>
          <w:sz w:val="22"/>
          <w:szCs w:val="22"/>
        </w:rPr>
        <w:t xml:space="preserve">• 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Dependencias instaladas dentro del entorno (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pandas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por el momento) y congeladas en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requirements.txt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con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pip freeze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.</w:t>
      </w:r>
    </w:p>
    <w:p>
      <w:pPr>
        <w:pBdr>
          <w:bottom w:val="single" w:color="1F3864" w:sz="6" w:space="4"/>
        </w:pBdr>
        <w:spacing w:after="200" w:before="100"/>
      </w:pPr>
    </w:p>
    <w:p>
      <w:pPr>
        <w:pStyle w:val="Heading1"/>
        <w:pBdr>
          <w:bottom w:val="single" w:color="9DB3D6" w:sz="4" w:space="4"/>
        </w:pBdr>
        <w:spacing w:after="180" w:before="360"/>
      </w:pPr>
      <w:r>
        <w:rPr>
          <w:b/>
          <w:bCs/>
          <w:i w:val="false"/>
          <w:iCs w:val="false"/>
          <w:color w:val="1F3864"/>
          <w:sz w:val="30"/>
          <w:szCs w:val="30"/>
        </w:rPr>
        <w:t xml:space="preserve">4. </w:t>
      </w:r>
      <w:r>
        <w:rPr>
          <w:rFonts w:ascii="Consolas" w:cs="Consolas" w:eastAsia="Consolas" w:hAnsi="Consolas"/>
          <w:b/>
          <w:bCs/>
          <w:color w:val="1F3864"/>
          <w:sz w:val="30"/>
          <w:szCs w:val="30"/>
        </w:rPr>
        <w:t xml:space="preserve">src/data_loader.py</w:t>
      </w:r>
    </w:p>
    <w:p>
      <w:pPr>
        <w:spacing w:after="1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Se construyó el módulo de ingesta con responsabilidad única: </w:t>
      </w:r>
      <w:r>
        <w:rPr>
          <w:b/>
          <w:bCs/>
          <w:i w:val="false"/>
          <w:iCs w:val="false"/>
          <w:sz w:val="22"/>
          <w:szCs w:val="22"/>
        </w:rPr>
        <w:t xml:space="preserve">leer y validar los datos crudos, sin transformarlos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(esa tarea queda reservada a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preprocessor.py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).</w:t>
      </w:r>
    </w:p>
    <w:p>
      <w:pPr>
        <w:spacing w:after="1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Funciones implementadas:</w:t>
      </w:r>
    </w:p>
    <w:p>
      <w:pPr>
        <w:spacing w:after="100"/>
        <w:ind w:left="300"/>
      </w:pPr>
      <w:r>
        <w:rPr>
          <w:b/>
          <w:bCs/>
          <w:color w:val="1F3864"/>
          <w:sz w:val="22"/>
          <w:szCs w:val="22"/>
        </w:rPr>
        <w:t xml:space="preserve">• </w:t>
      </w:r>
      <w:r>
        <w:rPr>
          <w:b/>
          <w:bCs/>
          <w:i w:val="false"/>
          <w:iCs w:val="false"/>
          <w:sz w:val="22"/>
          <w:szCs w:val="22"/>
        </w:rPr>
        <w:t xml:space="preserve">`cargar_produccion_no_convencional()`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: lee el CSV principal desde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data/raw/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valida que estén presentes las columnas mínimas esperadas por el resto del pipeline y falla con un error claro si no lo están (en vez de dejar que el problema aparezca más adelante en el modelado).</w:t>
      </w:r>
    </w:p>
    <w:p>
      <w:pPr>
        <w:spacing w:after="100"/>
        <w:ind w:left="300"/>
      </w:pPr>
      <w:r>
        <w:rPr>
          <w:b/>
          <w:bCs/>
          <w:color w:val="1F3864"/>
          <w:sz w:val="22"/>
          <w:szCs w:val="22"/>
        </w:rPr>
        <w:t xml:space="preserve">• </w:t>
      </w:r>
      <w:r>
        <w:rPr>
          <w:b/>
          <w:bCs/>
          <w:i w:val="false"/>
          <w:iCs w:val="false"/>
          <w:sz w:val="22"/>
          <w:szCs w:val="22"/>
        </w:rPr>
        <w:t xml:space="preserve">`cargar_capitulo_iv_pozos()`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: lee el CSV complementario de metadatos de pozos, mismo criterio de validación.</w:t>
      </w:r>
    </w:p>
    <w:p>
      <w:pPr>
        <w:spacing w:after="100"/>
        <w:ind w:left="300"/>
      </w:pPr>
      <w:r>
        <w:rPr>
          <w:b/>
          <w:bCs/>
          <w:color w:val="1F3864"/>
          <w:sz w:val="22"/>
          <w:szCs w:val="22"/>
        </w:rPr>
        <w:t xml:space="preserve">• </w:t>
      </w:r>
      <w:r>
        <w:rPr>
          <w:b/>
          <w:bCs/>
          <w:i w:val="false"/>
          <w:iCs w:val="false"/>
          <w:sz w:val="22"/>
          <w:szCs w:val="22"/>
        </w:rPr>
        <w:t xml:space="preserve">`validar_calidad()`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: función de diagnóstico que no modifica datos, solo reporta: duplicados, nulos por columna, rangos sospechosos de profundidad, producción negativa y cobertura temporal. Pensada como insumo directo para el EDA.</w:t>
      </w:r>
    </w:p>
    <w:p>
      <w:pPr>
        <w:spacing w:after="1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Decisión de diseño: las rutas se resuelven de forma relativa a la ubicación del script (no al directorio desde donde se ejecuta), evitando el problema de rutas absolutas que exige evitar la consigna de reproducibilidad del curso.</w:t>
      </w:r>
    </w:p>
    <w:p>
      <w:pPr>
        <w:pBdr>
          <w:bottom w:val="single" w:color="1F3864" w:sz="6" w:space="4"/>
        </w:pBdr>
        <w:spacing w:after="200" w:before="100"/>
      </w:pPr>
    </w:p>
    <w:p>
      <w:pPr>
        <w:pStyle w:val="Heading1"/>
        <w:pBdr>
          <w:bottom w:val="single" w:color="9DB3D6" w:sz="4" w:space="4"/>
        </w:pBdr>
        <w:spacing w:after="180" w:before="360"/>
      </w:pPr>
      <w:r>
        <w:rPr>
          <w:b/>
          <w:bCs/>
          <w:i w:val="false"/>
          <w:iCs w:val="false"/>
          <w:color w:val="1F3864"/>
          <w:sz w:val="30"/>
          <w:szCs w:val="30"/>
        </w:rPr>
        <w:t xml:space="preserve">5. Resultados obtenidos hasta el momento</w:t>
      </w:r>
    </w:p>
    <w:p>
      <w:pPr>
        <w:pStyle w:val="Heading2"/>
        <w:spacing w:after="140" w:before="280"/>
      </w:pPr>
      <w:r>
        <w:rPr>
          <w:b/>
          <w:bCs/>
          <w:i w:val="false"/>
          <w:iCs w:val="false"/>
          <w:color w:val="2E5395"/>
          <w:sz w:val="24"/>
          <w:szCs w:val="24"/>
        </w:rPr>
        <w:t xml:space="preserve">5.1 Dimensiones y cobertura</w:t>
      </w:r>
    </w:p>
    <w:tbl>
      <w:tblPr>
        <w:tblW w:type="dxa" w:w="9350"/>
        <w:tblBorders>
          <w:top w:val="single" w:color="B0B0B0" w:sz="2"/>
          <w:left w:val="single" w:color="B0B0B0" w:sz="2"/>
          <w:bottom w:val="single" w:color="B0B0B0" w:sz="2"/>
          <w:right w:val="single" w:color="B0B0B0" w:sz="2"/>
          <w:insideH w:val="single" w:color="D9D9D9" w:sz="2"/>
          <w:insideV w:val="single" w:color="D9D9D9" w:sz="2"/>
        </w:tblBorders>
      </w:tblPr>
      <w:tblGrid>
        <w:gridCol w:w="4675"/>
        <w:gridCol w:w="4675"/>
      </w:tblGrid>
      <w:tr>
        <w:trPr>
          <w:tblHeader/>
        </w:trPr>
        <w:tc>
          <w:tcPr>
            <w:tcW w:type="dxa" w:w="4675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tcW w:type="dxa" w:w="4675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Filas totales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421.046</w:t>
            </w:r>
          </w:p>
        </w:tc>
      </w:tr>
      <w:tr>
        <w:trPr>
          <w:tblHeader w:val="false"/>
        </w:trP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Columnas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40</w:t>
            </w:r>
          </w:p>
        </w:tc>
      </w:tr>
      <w:tr>
        <w:trPr>
          <w:tblHeader w:val="false"/>
        </w:trP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Rango temporal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2006 – 2026</w:t>
            </w:r>
          </w:p>
        </w:tc>
      </w:tr>
      <w:tr>
        <w:trPr>
          <w:tblHeader w:val="false"/>
        </w:trP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Duplicados (pozo-año-mes)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</w:t>
            </w:r>
          </w:p>
        </w:tc>
      </w:tr>
    </w:tbl>
    <w:p>
      <w:pPr>
        <w:spacing w:after="160"/>
      </w:pPr>
    </w:p>
    <w:p>
      <w:pPr>
        <w:pStyle w:val="Heading2"/>
        <w:spacing w:after="140" w:before="280"/>
      </w:pPr>
      <w:r>
        <w:rPr>
          <w:b/>
          <w:bCs/>
          <w:i w:val="false"/>
          <w:iCs w:val="false"/>
          <w:color w:val="2E5395"/>
          <w:sz w:val="24"/>
          <w:szCs w:val="24"/>
        </w:rPr>
        <w:t xml:space="preserve">5.2 Columnas con valores nulos</w:t>
      </w:r>
    </w:p>
    <w:tbl>
      <w:tblPr>
        <w:tblW w:type="dxa" w:w="9350"/>
        <w:tblBorders>
          <w:top w:val="single" w:color="B0B0B0" w:sz="2"/>
          <w:left w:val="single" w:color="B0B0B0" w:sz="2"/>
          <w:bottom w:val="single" w:color="B0B0B0" w:sz="2"/>
          <w:right w:val="single" w:color="B0B0B0" w:sz="2"/>
          <w:insideH w:val="single" w:color="D9D9D9" w:sz="2"/>
          <w:insideV w:val="single" w:color="D9D9D9" w:sz="2"/>
        </w:tblBorders>
      </w:tblPr>
      <w:tblGrid>
        <w:gridCol w:w="3116"/>
        <w:gridCol w:w="3116"/>
        <w:gridCol w:w="3116"/>
      </w:tblGrid>
      <w:tr>
        <w:trPr>
          <w:tblHeader/>
        </w:trPr>
        <w:tc>
          <w:tcPr>
            <w:tcW w:type="dxa" w:w="3116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3116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Nulos</w:t>
            </w:r>
          </w:p>
        </w:tc>
        <w:tc>
          <w:tcPr>
            <w:tcW w:type="dxa" w:w="3116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% aprox. sobre 421.046</w:t>
            </w:r>
          </w:p>
        </w:tc>
      </w:tr>
      <w:tr>
        <w:trPr>
          <w:tblHeader w:val="false"/>
        </w:trP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vida_util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412.082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~97.9%</w:t>
            </w:r>
          </w:p>
        </w:tc>
      </w:tr>
      <w:tr>
        <w:trPr>
          <w:tblHeader w:val="false"/>
        </w:trP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observaciones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397.045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~94.3%</w:t>
            </w:r>
          </w:p>
        </w:tc>
      </w:tr>
      <w:tr>
        <w:trPr>
          <w:tblHeader w:val="false"/>
        </w:trP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clasificacion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922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~0.2%</w:t>
            </w:r>
          </w:p>
        </w:tc>
      </w:tr>
      <w:tr>
        <w:trPr>
          <w:tblHeader w:val="false"/>
        </w:trP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subclasificacion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922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~0.2%</w:t>
            </w:r>
          </w:p>
        </w:tc>
      </w:tr>
      <w:tr>
        <w:trPr>
          <w:tblHeader w:val="false"/>
        </w:trP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tipoextraccion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614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~0.15%</w:t>
            </w:r>
          </w:p>
        </w:tc>
      </w:tr>
      <w:tr>
        <w:trPr>
          <w:tblHeader w:val="false"/>
        </w:trP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tipoestado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614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~0.15%</w:t>
            </w:r>
          </w:p>
        </w:tc>
      </w:tr>
      <w:tr>
        <w:trPr>
          <w:tblHeader w:val="false"/>
        </w:trP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tipopozo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614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~0.15%</w:t>
            </w:r>
          </w:p>
        </w:tc>
      </w:tr>
      <w:tr>
        <w:trPr>
          <w:tblHeader w:val="false"/>
        </w:trP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sub_tipo_recurso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452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~0.1%</w:t>
            </w:r>
          </w:p>
        </w:tc>
      </w:tr>
    </w:tbl>
    <w:p>
      <w:pPr>
        <w:spacing w:after="160"/>
      </w:pPr>
    </w:p>
    <w:p>
      <w:pPr>
        <w:pStyle w:val="Heading2"/>
        <w:spacing w:after="140" w:before="280"/>
      </w:pPr>
      <w:r>
        <w:rPr>
          <w:b/>
          <w:bCs/>
          <w:i w:val="false"/>
          <w:iCs w:val="false"/>
          <w:color w:val="2E5395"/>
          <w:sz w:val="24"/>
          <w:szCs w:val="24"/>
        </w:rPr>
        <w:t xml:space="preserve">5.3 Anomalías detectadas (diagnóstico inicial)</w:t>
      </w:r>
    </w:p>
    <w:p>
      <w:pPr>
        <w:spacing w:after="100"/>
        <w:ind w:left="300"/>
      </w:pPr>
      <w:r>
        <w:rPr>
          <w:b/>
          <w:bCs/>
          <w:color w:val="1F3864"/>
          <w:sz w:val="22"/>
          <w:szCs w:val="22"/>
        </w:rPr>
        <w:t xml:space="preserve">• </w:t>
      </w:r>
      <w:r>
        <w:rPr>
          <w:b/>
          <w:bCs/>
          <w:i w:val="false"/>
          <w:iCs w:val="false"/>
          <w:sz w:val="22"/>
          <w:szCs w:val="22"/>
        </w:rPr>
        <w:t xml:space="preserve">Profundidad: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rango observado de 0 a 378.939 (unidad esperada: metros). 122 registros superan los 10.000, lo cual es físicamente imposible para un pozo real.</w:t>
      </w:r>
    </w:p>
    <w:p>
      <w:pPr>
        <w:spacing w:after="100"/>
        <w:ind w:left="300"/>
      </w:pPr>
      <w:r>
        <w:rPr>
          <w:b/>
          <w:bCs/>
          <w:color w:val="1F3864"/>
          <w:sz w:val="22"/>
          <w:szCs w:val="22"/>
        </w:rPr>
        <w:t xml:space="preserve">• </w:t>
      </w:r>
      <w:r>
        <w:rPr>
          <w:b/>
          <w:bCs/>
          <w:i w:val="false"/>
          <w:iCs w:val="false"/>
          <w:sz w:val="22"/>
          <w:szCs w:val="22"/>
        </w:rPr>
        <w:t xml:space="preserve">Producción negativa: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1 registro con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prod_pet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negativo y 2 con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prod_gas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negativo, sobre 421.046 filas — volumen insignificante pero sin sentido físico.</w:t>
      </w:r>
    </w:p>
    <w:p>
      <w:pPr>
        <w:pBdr>
          <w:bottom w:val="single" w:color="1F3864" w:sz="6" w:space="4"/>
        </w:pBdr>
        <w:spacing w:after="200" w:before="100"/>
      </w:pPr>
    </w:p>
    <w:p>
      <w:pPr>
        <w:pStyle w:val="Heading1"/>
        <w:pBdr>
          <w:bottom w:val="single" w:color="9DB3D6" w:sz="4" w:space="4"/>
        </w:pBdr>
        <w:spacing w:after="180" w:before="360"/>
      </w:pPr>
      <w:r>
        <w:rPr>
          <w:b/>
          <w:bCs/>
          <w:i w:val="false"/>
          <w:iCs w:val="false"/>
          <w:color w:val="1F3864"/>
          <w:sz w:val="30"/>
          <w:szCs w:val="30"/>
        </w:rPr>
        <w:t xml:space="preserve">6. </w:t>
      </w:r>
      <w:r>
        <w:rPr>
          <w:rFonts w:ascii="Consolas" w:cs="Consolas" w:eastAsia="Consolas" w:hAnsi="Consolas"/>
          <w:b/>
          <w:bCs/>
          <w:color w:val="1F3864"/>
          <w:sz w:val="30"/>
          <w:szCs w:val="30"/>
        </w:rPr>
        <w:t xml:space="preserve">notebooks/01_eda_limpieza.ipynb</w:t>
      </w:r>
      <w:r>
        <w:rPr>
          <w:b/>
          <w:bCs/>
          <w:i w:val="false"/>
          <w:iCs w:val="false"/>
          <w:color w:val="1F3864"/>
          <w:sz w:val="30"/>
          <w:szCs w:val="30"/>
        </w:rPr>
        <w:t xml:space="preserve"> — EDA visual</w:t>
      </w:r>
    </w:p>
    <w:p>
      <w:pPr>
        <w:spacing w:after="1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Se construyó el notebook de EDA para visualizar las anomalías antes de decidir cómo tratarlas. Estructura: carga de datos (reutilizando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data_loader.py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), gráfico de % de nulos por columna, histogramas de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profundidad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(completo y con zoom 1-10.000) con tabla de los 20 casos más extremos, histogramas y tabla de producción negativa, boxplots de las tres variables clave, y serie temporal de producción total anual.</w:t>
      </w:r>
    </w:p>
    <w:p>
      <w:pPr>
        <w:spacing w:after="160"/>
        <w:jc w:val="both"/>
      </w:pPr>
      <w:r>
        <w:rPr>
          <w:b/>
          <w:bCs/>
          <w:i w:val="false"/>
          <w:iCs w:val="false"/>
          <w:sz w:val="22"/>
          <w:szCs w:val="22"/>
        </w:rPr>
        <w:t xml:space="preserve">Entorno: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se instalaron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matplotlib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seaborn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jupyter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ipykernel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dentro del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venv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y se actualizó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requirements.txt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.</w:t>
      </w:r>
    </w:p>
    <w:p>
      <w:pPr>
        <w:pStyle w:val="Heading2"/>
        <w:spacing w:after="140" w:before="280"/>
      </w:pPr>
      <w:r>
        <w:rPr>
          <w:b/>
          <w:bCs/>
          <w:i w:val="false"/>
          <w:iCs w:val="false"/>
          <w:color w:val="2E5395"/>
          <w:sz w:val="24"/>
          <w:szCs w:val="24"/>
        </w:rPr>
        <w:t xml:space="preserve">Hallazgos confirmados con los gráficos</w:t>
      </w:r>
    </w:p>
    <w:p>
      <w:pPr>
        <w:spacing w:after="100"/>
        <w:ind w:left="300"/>
      </w:pPr>
      <w:r>
        <w:rPr>
          <w:b/>
          <w:bCs/>
          <w:color w:val="1F3864"/>
          <w:sz w:val="22"/>
          <w:szCs w:val="22"/>
        </w:rPr>
        <w:t xml:space="preserve">• </w:t>
      </w:r>
      <w:r>
        <w:rPr>
          <w:b/>
          <w:bCs/>
          <w:i w:val="false"/>
          <w:iCs w:val="false"/>
          <w:sz w:val="22"/>
          <w:szCs w:val="22"/>
        </w:rPr>
        <w:t xml:space="preserve">Profundidad &gt;10.000 — un solo pozo, no ruido disperso: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los 122 registros sospechosos corresponden todos al mismo pozo (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idpozo 156804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formación "lajas"), con el valor 378.939 repetido en cada uno de sus registros mensuales a lo largo de los años — es un error puntual de carga en origen, no un conjunto de outliers estadísticos independientes.</w:t>
      </w:r>
    </w:p>
    <w:p>
      <w:pPr>
        <w:spacing w:after="100"/>
        <w:ind w:left="300"/>
      </w:pPr>
      <w:r>
        <w:rPr>
          <w:b/>
          <w:bCs/>
          <w:color w:val="1F3864"/>
          <w:sz w:val="22"/>
          <w:szCs w:val="22"/>
        </w:rPr>
        <w:t xml:space="preserve">• </w:t>
      </w:r>
      <w:r>
        <w:rPr>
          <w:b/>
          <w:bCs/>
          <w:i w:val="false"/>
          <w:iCs w:val="false"/>
          <w:sz w:val="22"/>
          <w:szCs w:val="22"/>
        </w:rPr>
        <w:t xml:space="preserve">Profundidad = 0: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5.738 filas, pero correspondientes a </w:t>
      </w:r>
      <w:r>
        <w:rPr>
          <w:b/>
          <w:bCs/>
          <w:i w:val="false"/>
          <w:iCs w:val="false"/>
          <w:sz w:val="22"/>
          <w:szCs w:val="22"/>
        </w:rPr>
        <w:t xml:space="preserve">164 pozos distintos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— a diferencia del caso anterior, sí se trata como dato faltante genuino (el campo nunca se cargó para esos pozos).</w:t>
      </w:r>
    </w:p>
    <w:p>
      <w:pPr>
        <w:spacing w:after="100"/>
        <w:ind w:left="300"/>
      </w:pPr>
      <w:r>
        <w:rPr>
          <w:b/>
          <w:bCs/>
          <w:color w:val="1F3864"/>
          <w:sz w:val="22"/>
          <w:szCs w:val="22"/>
        </w:rPr>
        <w:t xml:space="preserve">• </w:t>
      </w:r>
      <w:r>
        <w:rPr>
          <w:b/>
          <w:bCs/>
          <w:i w:val="false"/>
          <w:iCs w:val="false"/>
          <w:sz w:val="22"/>
          <w:szCs w:val="22"/>
        </w:rPr>
        <w:t xml:space="preserve">Producción (`prod_pet`, `prod_gas`):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distribución fuertemente sesgada a la derecha, comportamiento esperado en datos de producción de hidrocarburos (muchos pozos de baja producción, pocos de alta). A tener en cuenta para aplicar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log1p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en el feature engineering.</w:t>
      </w:r>
    </w:p>
    <w:p>
      <w:pPr>
        <w:spacing w:after="100"/>
        <w:ind w:left="300"/>
      </w:pPr>
      <w:r>
        <w:rPr>
          <w:b/>
          <w:bCs/>
          <w:color w:val="1F3864"/>
          <w:sz w:val="22"/>
          <w:szCs w:val="22"/>
        </w:rPr>
        <w:t xml:space="preserve">• </w:t>
      </w:r>
      <w:r>
        <w:rPr>
          <w:b/>
          <w:bCs/>
          <w:i w:val="false"/>
          <w:iCs w:val="false"/>
          <w:sz w:val="22"/>
          <w:szCs w:val="22"/>
        </w:rPr>
        <w:t xml:space="preserve">Producción negativa: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las 3 filas confirmadas tienen magnitudes chicas (-12, -7, -0.001), consistentes con correcciones/rectificaciones cargadas con signo.</w:t>
      </w:r>
    </w:p>
    <w:p>
      <w:pPr>
        <w:spacing w:after="100"/>
        <w:ind w:left="300"/>
      </w:pPr>
      <w:r>
        <w:rPr>
          <w:b/>
          <w:bCs/>
          <w:color w:val="1F3864"/>
          <w:sz w:val="22"/>
          <w:szCs w:val="22"/>
        </w:rPr>
        <w:t xml:space="preserve">• </w:t>
      </w:r>
      <w:r>
        <w:rPr>
          <w:b/>
          <w:bCs/>
          <w:i w:val="false"/>
          <w:iCs w:val="false"/>
          <w:sz w:val="22"/>
          <w:szCs w:val="22"/>
        </w:rPr>
        <w:t xml:space="preserve">Serie temporal (datos crudos):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curva de crecimiento exponencial 2006-2025 esperable del boom de Vaca Muerta, pero con una </w:t>
      </w:r>
      <w:r>
        <w:rPr>
          <w:b/>
          <w:bCs/>
          <w:i w:val="false"/>
          <w:iCs w:val="false"/>
          <w:sz w:val="22"/>
          <w:szCs w:val="22"/>
        </w:rPr>
        <w:t xml:space="preserve">caída artificial en 2026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— el dataset todavía no tiene los 12 meses cargados para ese año (no es una caída real de producción).</w:t>
      </w:r>
    </w:p>
    <w:p>
      <w:pPr>
        <w:pBdr>
          <w:bottom w:val="single" w:color="1F3864" w:sz="6" w:space="4"/>
        </w:pBdr>
        <w:spacing w:after="200" w:before="100"/>
      </w:pPr>
    </w:p>
    <w:p>
      <w:pPr>
        <w:pStyle w:val="Heading1"/>
        <w:pBdr>
          <w:bottom w:val="single" w:color="9DB3D6" w:sz="4" w:space="4"/>
        </w:pBdr>
        <w:spacing w:after="180" w:before="360"/>
      </w:pPr>
      <w:r>
        <w:rPr>
          <w:b/>
          <w:bCs/>
          <w:i w:val="false"/>
          <w:iCs w:val="false"/>
          <w:color w:val="1F3864"/>
          <w:sz w:val="30"/>
          <w:szCs w:val="30"/>
        </w:rPr>
        <w:t xml:space="preserve">7. </w:t>
      </w:r>
      <w:r>
        <w:rPr>
          <w:rFonts w:ascii="Consolas" w:cs="Consolas" w:eastAsia="Consolas" w:hAnsi="Consolas"/>
          <w:b/>
          <w:bCs/>
          <w:color w:val="1F3864"/>
          <w:sz w:val="30"/>
          <w:szCs w:val="30"/>
        </w:rPr>
        <w:t xml:space="preserve">src/preprocessor.py</w:t>
      </w:r>
      <w:r>
        <w:rPr>
          <w:b/>
          <w:bCs/>
          <w:i w:val="false"/>
          <w:iCs w:val="false"/>
          <w:color w:val="1F3864"/>
          <w:sz w:val="30"/>
          <w:szCs w:val="30"/>
        </w:rPr>
        <w:t xml:space="preserve"> — reglas de limpieza implementadas</w:t>
      </w:r>
    </w:p>
    <w:p>
      <w:pPr>
        <w:spacing w:after="1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Módulo con responsabilidad de transformación (a diferencia de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data_loader.py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que solo lee y valida). Cada función recibe un DataFrame y devuelve uno nuevo (sin modificar in-place), permitiendo encadenarlas en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pipeline_preprocesamiento()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:</w:t>
      </w:r>
    </w:p>
    <w:tbl>
      <w:tblPr>
        <w:tblW w:type="dxa" w:w="9350"/>
        <w:tblBorders>
          <w:top w:val="single" w:color="B0B0B0" w:sz="2"/>
          <w:left w:val="single" w:color="B0B0B0" w:sz="2"/>
          <w:bottom w:val="single" w:color="B0B0B0" w:sz="2"/>
          <w:right w:val="single" w:color="B0B0B0" w:sz="2"/>
          <w:insideH w:val="single" w:color="D9D9D9" w:sz="2"/>
          <w:insideV w:val="single" w:color="D9D9D9" w:sz="2"/>
        </w:tblBorders>
      </w:tblPr>
      <w:tblGrid>
        <w:gridCol w:w="4675"/>
        <w:gridCol w:w="4675"/>
      </w:tblGrid>
      <w:tr>
        <w:trPr>
          <w:tblHeader/>
        </w:trPr>
        <w:tc>
          <w:tcPr>
            <w:tcW w:type="dxa" w:w="4675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Función</w:t>
            </w:r>
          </w:p>
        </w:tc>
        <w:tc>
          <w:tcPr>
            <w:tcW w:type="dxa" w:w="4675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Regla aplicada</w:t>
            </w:r>
          </w:p>
        </w:tc>
      </w:tr>
      <w:tr>
        <w:trPr>
          <w:tblHeader w:val="false"/>
        </w:trP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descartar_columnas_vacias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Elimina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vida_util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y </w:t>
            </w:r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observaciones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(&gt;90% nulos)</w:t>
            </w:r>
          </w:p>
        </w:tc>
      </w:tr>
      <w:tr>
        <w:trPr>
          <w:tblHeader w:val="false"/>
        </w:trP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imputar_categoricas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Imputa con la moda: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tipoextraccion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tipoestado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tipopozo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clasificacion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subclasificacion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sub_tipo_recurso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(nulos &lt;0.25%)</w:t>
            </w:r>
          </w:p>
        </w:tc>
      </w:tr>
      <w:tr>
        <w:trPr>
          <w:tblHeader w:val="false"/>
        </w:trP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corregir_profundidad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Valores fuera del rango plausible (100–10.000) se tratan como faltantes y se imputan con la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mediana por formación geológica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(no mediana global, porque la profundidad varía según formación). Esta regla genérica resuelve tanto el caso del pozo 156804 como los 164 pozos con profundidad = 0, sin necesidad de excepciones manuales por ID.</w:t>
            </w:r>
          </w:p>
        </w:tc>
      </w:tr>
      <w:tr>
        <w:trPr>
          <w:tblHeader w:val="false"/>
        </w:trP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corregir_produccion_negativa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Clipea a 0 los valores negativos de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prod_pet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y </w:t>
            </w:r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prod_gas</w:t>
            </w:r>
          </w:p>
        </w:tc>
      </w:tr>
      <w:tr>
        <w:trPr>
          <w:tblHeader w:val="false"/>
        </w:trP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marcar_anio_incompleto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Agrega columna booleana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anio_completo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para poder excluir 2026 de análisis de tendencia anual, sin perder esas filas para el modelado</w:t>
            </w:r>
          </w:p>
        </w:tc>
      </w:tr>
    </w:tbl>
    <w:p>
      <w:pPr>
        <w:spacing w:after="160"/>
      </w:pPr>
    </w:p>
    <w:p>
      <w:pPr>
        <w:pStyle w:val="Heading2"/>
        <w:spacing w:after="140" w:before="280"/>
      </w:pPr>
      <w:r>
        <w:rPr>
          <w:b/>
          <w:bCs/>
          <w:i w:val="false"/>
          <w:iCs w:val="false"/>
          <w:color w:val="2E5395"/>
          <w:sz w:val="24"/>
          <w:szCs w:val="24"/>
        </w:rPr>
        <w:t xml:space="preserve">Verificación de resultados (antes / después)</w:t>
      </w:r>
    </w:p>
    <w:tbl>
      <w:tblPr>
        <w:tblW w:type="dxa" w:w="9350"/>
        <w:tblBorders>
          <w:top w:val="single" w:color="B0B0B0" w:sz="2"/>
          <w:left w:val="single" w:color="B0B0B0" w:sz="2"/>
          <w:bottom w:val="single" w:color="B0B0B0" w:sz="2"/>
          <w:right w:val="single" w:color="B0B0B0" w:sz="2"/>
          <w:insideH w:val="single" w:color="D9D9D9" w:sz="2"/>
          <w:insideV w:val="single" w:color="D9D9D9" w:sz="2"/>
        </w:tblBorders>
      </w:tblPr>
      <w:tblGrid>
        <w:gridCol w:w="3116"/>
        <w:gridCol w:w="3116"/>
        <w:gridCol w:w="3116"/>
      </w:tblGrid>
      <w:tr>
        <w:trPr>
          <w:tblHeader/>
        </w:trPr>
        <w:tc>
          <w:tcPr>
            <w:tcW w:type="dxa" w:w="3116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tcW w:type="dxa" w:w="3116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Antes</w:t>
            </w:r>
          </w:p>
        </w:tc>
        <w:tc>
          <w:tcPr>
            <w:tcW w:type="dxa" w:w="3116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Después</w:t>
            </w:r>
          </w:p>
        </w:tc>
      </w:tr>
      <w:tr>
        <w:trPr>
          <w:tblHeader w:val="false"/>
        </w:trP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Shape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421.046 × 40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421.046 × 39</w:t>
            </w:r>
          </w:p>
        </w:tc>
      </w:tr>
      <w:tr>
        <w:trPr>
          <w:tblHeader w:val="false"/>
        </w:trP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Nulos en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profundidad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122 casos &gt;10.000 + 5.738 en 0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prod_pet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negativa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prod_gas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negativa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Filas marcadas año incompleto (2026)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34.386</w:t>
            </w:r>
          </w:p>
        </w:tc>
      </w:tr>
    </w:tbl>
    <w:p>
      <w:pPr>
        <w:spacing w:after="160"/>
      </w:pPr>
    </w:p>
    <w:p>
      <w:pPr>
        <w:pStyle w:val="Heading2"/>
        <w:spacing w:after="140" w:before="280"/>
      </w:pPr>
      <w:r>
        <w:rPr>
          <w:b/>
          <w:bCs/>
          <w:i w:val="false"/>
          <w:iCs w:val="false"/>
          <w:color w:val="2E5395"/>
          <w:sz w:val="24"/>
          <w:szCs w:val="24"/>
        </w:rPr>
        <w:t xml:space="preserve">Verificación visual (sección 8 del notebook)</w:t>
      </w:r>
    </w:p>
    <w:p>
      <w:pPr>
        <w:spacing w:after="100"/>
        <w:ind w:left="300"/>
      </w:pPr>
      <w:r>
        <w:rPr>
          <w:b/>
          <w:bCs/>
          <w:color w:val="1F3864"/>
          <w:sz w:val="22"/>
          <w:szCs w:val="22"/>
        </w:rPr>
        <w:t xml:space="preserve">• 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El histograma de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profundidad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post-limpieza muestra una distribución realista concentrada entre 1.500 y 7.000, con pico en ~3.000 — sin rastro del valor erróneo de 378.939.</w:t>
      </w:r>
    </w:p>
    <w:p>
      <w:pPr>
        <w:spacing w:after="100"/>
        <w:ind w:left="300"/>
      </w:pPr>
      <w:r>
        <w:rPr>
          <w:b/>
          <w:bCs/>
          <w:color w:val="1F3864"/>
          <w:sz w:val="22"/>
          <w:szCs w:val="22"/>
        </w:rPr>
        <w:t xml:space="preserve">• 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La serie temporal recalculada </w:t>
      </w:r>
      <w:r>
        <w:rPr>
          <w:b/>
          <w:bCs/>
          <w:i w:val="false"/>
          <w:iCs w:val="false"/>
          <w:sz w:val="22"/>
          <w:szCs w:val="22"/>
        </w:rPr>
        <w:t xml:space="preserve">excluyendo el año incompleto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muestra la curva de crecimiento limpia 2006-2025, sin la caída artificial de 2026.</w:t>
      </w:r>
    </w:p>
    <w:p>
      <w:pPr>
        <w:spacing w:after="1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Con esto, la Pre-Entrega 2 (EDA + limpieza) queda </w:t>
      </w:r>
      <w:r>
        <w:rPr>
          <w:b/>
          <w:bCs/>
          <w:i w:val="false"/>
          <w:iCs w:val="false"/>
          <w:sz w:val="22"/>
          <w:szCs w:val="22"/>
        </w:rPr>
        <w:t xml:space="preserve">cerrada y verificada tanto numérica como visualmente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.</w:t>
      </w:r>
    </w:p>
    <w:p>
      <w:pPr>
        <w:pBdr>
          <w:bottom w:val="single" w:color="1F3864" w:sz="6" w:space="4"/>
        </w:pBdr>
        <w:spacing w:after="200" w:before="100"/>
      </w:pPr>
    </w:p>
    <w:p>
      <w:pPr>
        <w:pStyle w:val="Heading1"/>
        <w:pBdr>
          <w:bottom w:val="single" w:color="9DB3D6" w:sz="4" w:space="4"/>
        </w:pBdr>
        <w:spacing w:after="180" w:before="360"/>
      </w:pPr>
      <w:r>
        <w:rPr>
          <w:b/>
          <w:bCs/>
          <w:i w:val="false"/>
          <w:iCs w:val="false"/>
          <w:color w:val="1F3864"/>
          <w:sz w:val="30"/>
          <w:szCs w:val="30"/>
        </w:rPr>
        <w:t xml:space="preserve">8. Cambio de estilo de código</w:t>
      </w:r>
    </w:p>
    <w:p>
      <w:pPr>
        <w:spacing w:after="1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A partir de esta etapa, todo el código del proyecto (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data_loader.py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preprocessor.py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y los notebooks) se reescribió en un </w:t>
      </w:r>
      <w:r>
        <w:rPr>
          <w:b/>
          <w:bCs/>
          <w:i w:val="false"/>
          <w:iCs w:val="false"/>
          <w:sz w:val="22"/>
          <w:szCs w:val="22"/>
        </w:rPr>
        <w:t xml:space="preserve">estilo más simple y lineal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: funciones únicas con pasos comentados en vez de múltiples funciones encadenadas con validaciones extensas. Se prioriza la legibilidad y la capacidad de explicar el código en la defensa oral, por sobre patrones más avanzados (type hints, manejo de excepciones, rutas independientes del directorio de ejecución). El comportamiento y los resultados numéricos son equivalentes a la versión anterior.</w:t>
      </w:r>
    </w:p>
    <w:p>
      <w:pPr>
        <w:pBdr>
          <w:bottom w:val="single" w:color="1F3864" w:sz="6" w:space="4"/>
        </w:pBdr>
        <w:spacing w:after="200" w:before="100"/>
      </w:pPr>
    </w:p>
    <w:p>
      <w:pPr>
        <w:pStyle w:val="Heading1"/>
        <w:pBdr>
          <w:bottom w:val="single" w:color="9DB3D6" w:sz="4" w:space="4"/>
        </w:pBdr>
        <w:spacing w:after="180" w:before="360"/>
      </w:pPr>
      <w:r>
        <w:rPr>
          <w:b/>
          <w:bCs/>
          <w:i w:val="false"/>
          <w:iCs w:val="false"/>
          <w:color w:val="1F3864"/>
          <w:sz w:val="30"/>
          <w:szCs w:val="30"/>
        </w:rPr>
        <w:t xml:space="preserve">9. </w:t>
      </w:r>
      <w:r>
        <w:rPr>
          <w:rFonts w:ascii="Consolas" w:cs="Consolas" w:eastAsia="Consolas" w:hAnsi="Consolas"/>
          <w:b/>
          <w:bCs/>
          <w:color w:val="1F3864"/>
          <w:sz w:val="30"/>
          <w:szCs w:val="30"/>
        </w:rPr>
        <w:t xml:space="preserve">notebooks/02_feature_engineering.ipynb</w:t>
      </w:r>
      <w:r>
        <w:rPr>
          <w:b/>
          <w:bCs/>
          <w:i w:val="false"/>
          <w:iCs w:val="false"/>
          <w:color w:val="1F3864"/>
          <w:sz w:val="30"/>
          <w:szCs w:val="30"/>
        </w:rPr>
        <w:t xml:space="preserve"> — Variables derivadas</w:t>
      </w:r>
    </w:p>
    <w:p>
      <w:pPr>
        <w:spacing w:after="1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Se crearon variables nuevas sobre el dataset limpio, pensadas para darle al modelo información sobre el comportamiento de cada pozo a lo largo del tiempo:</w:t>
      </w:r>
    </w:p>
    <w:tbl>
      <w:tblPr>
        <w:tblW w:type="dxa" w:w="9350"/>
        <w:tblBorders>
          <w:top w:val="single" w:color="B0B0B0" w:sz="2"/>
          <w:left w:val="single" w:color="B0B0B0" w:sz="2"/>
          <w:bottom w:val="single" w:color="B0B0B0" w:sz="2"/>
          <w:right w:val="single" w:color="B0B0B0" w:sz="2"/>
          <w:insideH w:val="single" w:color="D9D9D9" w:sz="2"/>
          <w:insideV w:val="single" w:color="D9D9D9" w:sz="2"/>
        </w:tblBorders>
      </w:tblPr>
      <w:tblGrid>
        <w:gridCol w:w="4675"/>
        <w:gridCol w:w="4675"/>
      </w:tblGrid>
      <w:tr>
        <w:trPr>
          <w:tblHeader/>
        </w:trPr>
        <w:tc>
          <w:tcPr>
            <w:tcW w:type="dxa" w:w="4675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4675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antiguedad_meses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Número de mes de producción del pozo (1 = primer mes registrado)</w:t>
            </w:r>
          </w:p>
        </w:tc>
      </w:tr>
      <w:tr>
        <w:trPr>
          <w:tblHeader w:val="false"/>
        </w:trP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prod_pet_mes_anterior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prod_gas_mes_anterior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Producción del mes anterior (lag), por pozo</w:t>
            </w:r>
          </w:p>
        </w:tc>
      </w:tr>
      <w:tr>
        <w:trPr>
          <w:tblHeader w:val="false"/>
        </w:trP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declinacion_pet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declinacion_gas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% de variación respecto al mes anterior</w:t>
            </w:r>
          </w:p>
        </w:tc>
      </w:tr>
      <w:tr>
        <w:trPr>
          <w:tblHeader w:val="false"/>
        </w:trP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ratio_gas_petroleo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Relación gas/petróleo del mes</w:t>
            </w:r>
          </w:p>
        </w:tc>
      </w:tr>
      <w:tr>
        <w:trPr>
          <w:tblHeader w:val="false"/>
        </w:trP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prod_pet_acumulada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prod_gas_acumulada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Producción acumulada del pozo hasta ese mes</w:t>
            </w:r>
          </w:p>
        </w:tc>
      </w:tr>
      <w:tr>
        <w:trPr>
          <w:tblHeader w:val="false"/>
        </w:trP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formacion_cod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cuenca_cod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Codificación numérica de las variables categóricas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formacion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y </w:t>
            </w:r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cuenca</w:t>
            </w:r>
          </w:p>
        </w:tc>
      </w:tr>
    </w:tbl>
    <w:p>
      <w:pPr>
        <w:spacing w:after="160"/>
      </w:pPr>
    </w:p>
    <w:p>
      <w:pPr>
        <w:spacing w:after="160"/>
        <w:jc w:val="both"/>
      </w:pPr>
      <w:r>
        <w:rPr>
          <w:b/>
          <w:bCs/>
          <w:i w:val="false"/>
          <w:iCs w:val="false"/>
          <w:sz w:val="22"/>
          <w:szCs w:val="22"/>
        </w:rPr>
        <w:t xml:space="preserve">Verificación visual: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se graficó la curva de producción mensual y acumulada del pozo con más historia cargada, confirmando que la producción acumulada es siempre creciente (como corresponde a una suma acumulada) y que la curva mensual muestra el patrón esperable de un pozo no convencional. Se detectó un pico de producción puntual en ese pozo (posible reestimulación/refractura, o un pozo pre-boom de 2006 con comportamiento distinto al shale típico) — queda anotado como punto de atención para el modelado.</w:t>
      </w:r>
    </w:p>
    <w:p>
      <w:pPr>
        <w:spacing w:after="1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El resultado se guardó en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data/processed/produccion_con_features.csv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para uso directo del notebook de modelado.</w:t>
      </w:r>
    </w:p>
    <w:p>
      <w:pPr>
        <w:pBdr>
          <w:bottom w:val="single" w:color="1F3864" w:sz="6" w:space="4"/>
        </w:pBdr>
        <w:spacing w:after="200" w:before="100"/>
      </w:pPr>
    </w:p>
    <w:p>
      <w:pPr>
        <w:pStyle w:val="Heading1"/>
        <w:pBdr>
          <w:bottom w:val="single" w:color="9DB3D6" w:sz="4" w:space="4"/>
        </w:pBdr>
        <w:spacing w:after="180" w:before="360"/>
      </w:pPr>
      <w:r>
        <w:rPr>
          <w:b/>
          <w:bCs/>
          <w:i w:val="false"/>
          <w:iCs w:val="false"/>
          <w:color w:val="1F3864"/>
          <w:sz w:val="30"/>
          <w:szCs w:val="30"/>
        </w:rPr>
        <w:t xml:space="preserve">10. </w:t>
      </w:r>
      <w:r>
        <w:rPr>
          <w:rFonts w:ascii="Consolas" w:cs="Consolas" w:eastAsia="Consolas" w:hAnsi="Consolas"/>
          <w:b/>
          <w:bCs/>
          <w:color w:val="1F3864"/>
          <w:sz w:val="30"/>
          <w:szCs w:val="30"/>
        </w:rPr>
        <w:t xml:space="preserve">notebooks/03_modelado_supervisado.ipynb</w:t>
      </w:r>
      <w:r>
        <w:rPr>
          <w:b/>
          <w:bCs/>
          <w:i w:val="false"/>
          <w:iCs w:val="false"/>
          <w:color w:val="1F3864"/>
          <w:sz w:val="30"/>
          <w:szCs w:val="30"/>
        </w:rPr>
        <w:t xml:space="preserve"> — Regresión (predicción de </w:t>
      </w:r>
      <w:r>
        <w:rPr>
          <w:rFonts w:ascii="Consolas" w:cs="Consolas" w:eastAsia="Consolas" w:hAnsi="Consolas"/>
          <w:b/>
          <w:bCs/>
          <w:color w:val="1F3864"/>
          <w:sz w:val="30"/>
          <w:szCs w:val="30"/>
        </w:rPr>
        <w:t xml:space="preserve">prod_pet</w:t>
      </w:r>
      <w:r>
        <w:rPr>
          <w:b/>
          <w:bCs/>
          <w:i w:val="false"/>
          <w:iCs w:val="false"/>
          <w:color w:val="1F3864"/>
          <w:sz w:val="30"/>
          <w:szCs w:val="30"/>
        </w:rPr>
        <w:t xml:space="preserve">)</w:t>
      </w:r>
    </w:p>
    <w:p>
      <w:pPr>
        <w:pStyle w:val="Heading2"/>
        <w:spacing w:after="140" w:before="280"/>
      </w:pPr>
      <w:r>
        <w:rPr>
          <w:b/>
          <w:bCs/>
          <w:i w:val="false"/>
          <w:iCs w:val="false"/>
          <w:color w:val="2E5395"/>
          <w:sz w:val="24"/>
          <w:szCs w:val="24"/>
        </w:rPr>
        <w:t xml:space="preserve">10.1 Diseño del experimento</w:t>
      </w:r>
    </w:p>
    <w:p>
      <w:pPr>
        <w:spacing w:after="100"/>
        <w:ind w:left="300"/>
      </w:pPr>
      <w:r>
        <w:rPr>
          <w:b/>
          <w:bCs/>
          <w:color w:val="1F3864"/>
          <w:sz w:val="22"/>
          <w:szCs w:val="22"/>
        </w:rPr>
        <w:t xml:space="preserve">• </w:t>
      </w:r>
      <w:r>
        <w:rPr>
          <w:b/>
          <w:bCs/>
          <w:i w:val="false"/>
          <w:iCs w:val="false"/>
          <w:sz w:val="22"/>
          <w:szCs w:val="22"/>
        </w:rPr>
        <w:t xml:space="preserve">Variable objetivo: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prod_pet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(producción mensual de petróleo por pozo).</w:t>
      </w:r>
    </w:p>
    <w:p>
      <w:pPr>
        <w:spacing w:after="100"/>
        <w:ind w:left="300"/>
      </w:pPr>
      <w:r>
        <w:rPr>
          <w:b/>
          <w:bCs/>
          <w:color w:val="1F3864"/>
          <w:sz w:val="22"/>
          <w:szCs w:val="22"/>
        </w:rPr>
        <w:t xml:space="preserve">• </w:t>
      </w:r>
      <w:r>
        <w:rPr>
          <w:b/>
          <w:bCs/>
          <w:i w:val="false"/>
          <w:iCs w:val="false"/>
          <w:sz w:val="22"/>
          <w:szCs w:val="22"/>
        </w:rPr>
        <w:t xml:space="preserve">Modelo: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XGBoost (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XGBRegressor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), parámetros base sin optimizar (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n_estimators=200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max_depth=5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learning_rate=0.1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).</w:t>
      </w:r>
    </w:p>
    <w:p>
      <w:pPr>
        <w:spacing w:after="100"/>
        <w:ind w:left="300"/>
      </w:pPr>
      <w:r>
        <w:rPr>
          <w:b/>
          <w:bCs/>
          <w:color w:val="1F3864"/>
          <w:sz w:val="22"/>
          <w:szCs w:val="22"/>
        </w:rPr>
        <w:t xml:space="preserve">• </w:t>
      </w:r>
      <w:r>
        <w:rPr>
          <w:b/>
          <w:bCs/>
          <w:i w:val="false"/>
          <w:iCs w:val="false"/>
          <w:sz w:val="22"/>
          <w:szCs w:val="22"/>
        </w:rPr>
        <w:t xml:space="preserve">Separación train/test respetando el tiempo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(no aleatoria): entrenamiento con años anteriores a 2024, prueba con 2024-2025 — simula la situación real de predecir producción futura, no interpolar el pasado.</w:t>
      </w:r>
    </w:p>
    <w:p>
      <w:pPr>
        <w:spacing w:after="100"/>
        <w:ind w:left="300"/>
      </w:pPr>
      <w:r>
        <w:rPr>
          <w:b/>
          <w:bCs/>
          <w:color w:val="1F3864"/>
          <w:sz w:val="22"/>
          <w:szCs w:val="22"/>
        </w:rPr>
        <w:t xml:space="preserve">• 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Se excluyeron del entrenamiento: el primer mes de cada pozo (sin "mes anterior" disponible) y el año 2026 (incompleto).</w:t>
      </w:r>
    </w:p>
    <w:p>
      <w:pPr>
        <w:pStyle w:val="Heading2"/>
        <w:spacing w:after="140" w:before="280"/>
      </w:pPr>
      <w:r>
        <w:rPr>
          <w:b/>
          <w:bCs/>
          <w:i w:val="false"/>
          <w:iCs w:val="false"/>
          <w:color w:val="2E5395"/>
          <w:sz w:val="24"/>
          <w:szCs w:val="24"/>
        </w:rPr>
        <w:t xml:space="preserve">10.2 Iteración 1 — Modelo base (7 features)</w:t>
      </w:r>
    </w:p>
    <w:p>
      <w:pPr>
        <w:spacing w:after="1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Features: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antiguedad_meses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prod_pet_mes_anterior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prod_gas_mes_anterior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ratio_gas_petroleo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profundidad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formacion_cod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cuenca_cod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.</w:t>
      </w:r>
    </w:p>
    <w:p>
      <w:pPr>
        <w:spacing w:after="160"/>
        <w:jc w:val="both"/>
      </w:pPr>
      <w:r>
        <w:rPr>
          <w:b/>
          <w:bCs/>
          <w:i w:val="false"/>
          <w:iCs w:val="false"/>
          <w:sz w:val="22"/>
          <w:szCs w:val="22"/>
        </w:rPr>
        <w:t xml:space="preserve">Resultado: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MAE 195.11 — RMSE 520.31 — R² 0.853. El gráfico de real vs. predicho mostró buen ajuste en el rango bajo-medio de producción, pero </w:t>
      </w:r>
      <w:r>
        <w:rPr>
          <w:b/>
          <w:bCs/>
          <w:i w:val="false"/>
          <w:iCs w:val="false"/>
          <w:sz w:val="22"/>
          <w:szCs w:val="22"/>
        </w:rPr>
        <w:t xml:space="preserve">subestimación sistemática de los pozos con picos de producción muy altos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(&gt;10.000).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prod_pet_mes_anterior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concentró más del 90% de la importancia del modelo.</w:t>
      </w:r>
    </w:p>
    <w:p>
      <w:pPr>
        <w:pStyle w:val="Heading2"/>
        <w:spacing w:after="140" w:before="280"/>
      </w:pPr>
      <w:r>
        <w:rPr>
          <w:b/>
          <w:bCs/>
          <w:i w:val="false"/>
          <w:iCs w:val="false"/>
          <w:color w:val="2E5395"/>
          <w:sz w:val="24"/>
          <w:szCs w:val="24"/>
        </w:rPr>
        <w:t xml:space="preserve">10.3 Iteración 2 — Fuga de datos detectada y descartada</w:t>
      </w:r>
    </w:p>
    <w:p>
      <w:pPr>
        <w:spacing w:after="1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Se intentó agregar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declinacion_pet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(variación % respecto al mes </w:t>
      </w:r>
      <w:r>
        <w:rPr>
          <w:b/>
          <w:bCs/>
          <w:i w:val="false"/>
          <w:iCs w:val="false"/>
          <w:sz w:val="22"/>
          <w:szCs w:val="22"/>
        </w:rPr>
        <w:t xml:space="preserve">actual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) como feature, buscando mejorar la detección de picos. El R² subió a </w:t>
      </w:r>
      <w:r>
        <w:rPr>
          <w:b/>
          <w:bCs/>
          <w:i w:val="false"/>
          <w:iCs w:val="false"/>
          <w:sz w:val="22"/>
          <w:szCs w:val="22"/>
        </w:rPr>
        <w:t xml:space="preserve">0.978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un salto sospechosamente alto.</w:t>
      </w:r>
    </w:p>
    <w:p>
      <w:pPr>
        <w:spacing w:after="160"/>
        <w:jc w:val="both"/>
      </w:pPr>
      <w:r>
        <w:rPr>
          <w:b/>
          <w:bCs/>
          <w:i w:val="false"/>
          <w:iCs w:val="false"/>
          <w:sz w:val="22"/>
          <w:szCs w:val="22"/>
        </w:rPr>
        <w:t xml:space="preserve">Diagnóstico: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declinacion_pet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se calcula como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(prod_pet - prod_pet_mes_anterior) / prod_pet_mes_anterior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— la variable objetivo (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prod_pet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) queda embebida en la fórmula de una de las features. Combinando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prod_pet_mes_anterior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declinacion_pet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el valor de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prod_pet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se puede despejar algebraicamente (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prod_pet = prod_pet_mes_anterior × (1 + declinacion_pet)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), por lo que el modelo no estaba prediciendo: estaba recibiendo la respuesta disfrazada. Se confirmó el diagnóstico observando que, pese al R² casi perfecto, el error en los picos altos (&gt;10.000) seguía siendo grande (2.580 de error promedio) — si la mejora fuera real, ese error también debería haber bajado.</w:t>
      </w:r>
    </w:p>
    <w:p>
      <w:pPr>
        <w:spacing w:after="160"/>
        <w:jc w:val="both"/>
      </w:pPr>
      <w:r>
        <w:rPr>
          <w:b/>
          <w:bCs/>
          <w:i w:val="false"/>
          <w:iCs w:val="false"/>
          <w:sz w:val="22"/>
          <w:szCs w:val="22"/>
        </w:rPr>
        <w:t xml:space="preserve">Esta versión fue descartada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y no es utilizable en producción, ya que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declinacion_pet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no puede calcularse en el momento de predecir (requiere conocer de antemano el dato que se busca estimar).</w:t>
      </w:r>
    </w:p>
    <w:p>
      <w:pPr>
        <w:pStyle w:val="Heading2"/>
        <w:spacing w:after="140" w:before="280"/>
      </w:pPr>
      <w:r>
        <w:rPr>
          <w:b/>
          <w:bCs/>
          <w:i w:val="false"/>
          <w:iCs w:val="false"/>
          <w:color w:val="2E5395"/>
          <w:sz w:val="24"/>
          <w:szCs w:val="24"/>
        </w:rPr>
        <w:t xml:space="preserve">10.4 Iteración 3 — Modelo corregido (8 features)</w:t>
      </w:r>
    </w:p>
    <w:p>
      <w:pPr>
        <w:spacing w:after="1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Se reemplazó la variable con fuga de datos por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declinacion_pet_anterior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(declinación calculada con el mes anterior al anterior, es decir, información ya conocida al momento de predecir — sin fuga).</w:t>
      </w:r>
    </w:p>
    <w:p>
      <w:pPr>
        <w:spacing w:after="160"/>
        <w:jc w:val="both"/>
      </w:pPr>
      <w:r>
        <w:rPr>
          <w:b/>
          <w:bCs/>
          <w:i w:val="false"/>
          <w:iCs w:val="false"/>
          <w:sz w:val="22"/>
          <w:szCs w:val="22"/>
        </w:rPr>
        <w:t xml:space="preserve">Resultado: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MAE 163.33 — RMSE 445.42 — R² 0.885. Mejora </w:t>
      </w:r>
      <w:r>
        <w:rPr>
          <w:b/>
          <w:bCs/>
          <w:i w:val="false"/>
          <w:iCs w:val="false"/>
          <w:sz w:val="22"/>
          <w:szCs w:val="22"/>
        </w:rPr>
        <w:t xml:space="preserve">real y modesta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respecto al modelo base (R² +0.032), consistente con una variable que aporta señal genuina sin “ver” el futuro.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declinacion_pet_anterior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aparece como tercera variable en importancia (por detrás de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prod_pet_mes_anterior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antiguedad_meses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), sin dominar el modelo como ocurría con la versión con fuga. </w:t>
      </w:r>
      <w:r>
        <w:rPr>
          <w:b/>
          <w:bCs/>
          <w:i w:val="false"/>
          <w:iCs w:val="false"/>
          <w:sz w:val="22"/>
          <w:szCs w:val="22"/>
        </w:rPr>
        <w:t xml:space="preserve">El problema de subestimación de picos altos (&gt;10.000) persistía.</w:t>
      </w:r>
    </w:p>
    <w:p>
      <w:pPr>
        <w:pStyle w:val="Heading2"/>
        <w:spacing w:after="140" w:before="280"/>
      </w:pPr>
      <w:r>
        <w:rPr>
          <w:b/>
          <w:bCs/>
          <w:i w:val="false"/>
          <w:iCs w:val="false"/>
          <w:color w:val="2E5395"/>
          <w:sz w:val="24"/>
          <w:szCs w:val="24"/>
        </w:rPr>
        <w:t xml:space="preserve">10.5 Iteración 4 — Máximo histórico del pozo (descartada)</w:t>
      </w:r>
    </w:p>
    <w:p>
      <w:pPr>
        <w:spacing w:after="1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Se agregó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prod_pet_maxima_anterior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(máximo histórico de producción del pozo, calculado solo con datos hasta el mes anterior — sin fuga), buscando que el modelo reconociera qué pozos tienen antecedentes de picos altos.</w:t>
      </w:r>
    </w:p>
    <w:p>
      <w:pPr>
        <w:spacing w:after="160"/>
        <w:jc w:val="both"/>
      </w:pPr>
      <w:r>
        <w:rPr>
          <w:b/>
          <w:bCs/>
          <w:i w:val="false"/>
          <w:iCs w:val="false"/>
          <w:sz w:val="22"/>
          <w:szCs w:val="22"/>
        </w:rPr>
        <w:t xml:space="preserve">Resultado: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MAE 165.63 — RMSE 444.47 — R² 0.885. Prácticamente idéntico al modelo anterior; el gráfico de importancia de variables mostró que el modelo casi no utilizó esta variable. </w:t>
      </w:r>
      <w:r>
        <w:rPr>
          <w:b/>
          <w:bCs/>
          <w:i w:val="false"/>
          <w:iCs w:val="false"/>
          <w:sz w:val="22"/>
          <w:szCs w:val="22"/>
        </w:rPr>
        <w:t xml:space="preserve">Descartada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por no aportar mejora real, priorizando un modelo más simple.</w:t>
      </w:r>
    </w:p>
    <w:p>
      <w:pPr>
        <w:pStyle w:val="Heading2"/>
        <w:spacing w:after="140" w:before="280"/>
      </w:pPr>
      <w:r>
        <w:rPr>
          <w:b/>
          <w:bCs/>
          <w:i w:val="false"/>
          <w:iCs w:val="false"/>
          <w:color w:val="2E5395"/>
          <w:sz w:val="24"/>
          <w:szCs w:val="24"/>
        </w:rPr>
        <w:t xml:space="preserve">10.6 Iteración 5 — Log-transform del objetivo (descartada)</w:t>
      </w:r>
    </w:p>
    <w:p>
      <w:pPr>
        <w:spacing w:after="1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En vez de agregar otra variable, se probó entrenar el modelo sobre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log(1 + prod_pet)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en lugar del valor directo — una técnica estándar para atenuar el efecto de distribuciones muy sesgadas sobre el error cuadrático de entrenamiento.</w:t>
      </w:r>
    </w:p>
    <w:p>
      <w:pPr>
        <w:spacing w:after="160"/>
        <w:jc w:val="both"/>
      </w:pPr>
      <w:r>
        <w:rPr>
          <w:b/>
          <w:bCs/>
          <w:i w:val="false"/>
          <w:iCs w:val="false"/>
          <w:sz w:val="22"/>
          <w:szCs w:val="22"/>
        </w:rPr>
        <w:t xml:space="preserve">Resultado: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MAE 163.09 — RMSE 501.67 — R² 0.854. El RMSE empeoró notablemente y el error en picos altos subió a 6.028 (peor que las versiones anteriores). El gráfico de real vs. predicho reveló el motivo: al revertir el logaritmo (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expm1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), pequeños errores en escala logarítmica se amplifican exponencialmente, generando </w:t>
      </w:r>
      <w:r>
        <w:rPr>
          <w:b/>
          <w:bCs/>
          <w:i w:val="false"/>
          <w:iCs w:val="false"/>
          <w:sz w:val="22"/>
          <w:szCs w:val="22"/>
        </w:rPr>
        <w:t xml:space="preserve">sobreestimaciones extremas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(predicciones de hasta 35.000 para pozos que producían realmente 7.000-10.000). </w:t>
      </w:r>
      <w:r>
        <w:rPr>
          <w:b/>
          <w:bCs/>
          <w:i w:val="false"/>
          <w:iCs w:val="false"/>
          <w:sz w:val="22"/>
          <w:szCs w:val="22"/>
        </w:rPr>
        <w:t xml:space="preserve">Descartada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por introducir un problema nuevo y más grave que el que buscaba resolver.</w:t>
      </w:r>
    </w:p>
    <w:p>
      <w:pPr>
        <w:pStyle w:val="Heading2"/>
        <w:spacing w:after="140" w:before="280"/>
      </w:pPr>
      <w:r>
        <w:rPr>
          <w:b/>
          <w:bCs/>
          <w:i w:val="false"/>
          <w:iCs w:val="false"/>
          <w:color w:val="2E5395"/>
          <w:sz w:val="24"/>
          <w:szCs w:val="24"/>
        </w:rPr>
        <w:t xml:space="preserve">10.7 Iteración 6 — Comparación XGBoost vs. LightGBM (consigna original)</w:t>
      </w:r>
    </w:p>
    <w:p>
      <w:pPr>
        <w:spacing w:after="1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La Pre-Entrega 1 especificaba entrenar y </w:t>
      </w:r>
      <w:r>
        <w:rPr>
          <w:b/>
          <w:bCs/>
          <w:i w:val="false"/>
          <w:iCs w:val="false"/>
          <w:sz w:val="22"/>
          <w:szCs w:val="22"/>
        </w:rPr>
        <w:t xml:space="preserve">comparar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modelos de regresión (XGBoost / LightGBM), no quedarse con uno solo. Se entrenó LightGBM con las mismas 8 features, el mismo split temporal (train &lt;2024, test 2024-2025) y parámetros equivalentes, para una comparación justa.</w:t>
      </w:r>
    </w:p>
    <w:tbl>
      <w:tblPr>
        <w:tblW w:type="dxa" w:w="9350"/>
        <w:tblBorders>
          <w:top w:val="single" w:color="B0B0B0" w:sz="2"/>
          <w:left w:val="single" w:color="B0B0B0" w:sz="2"/>
          <w:bottom w:val="single" w:color="B0B0B0" w:sz="2"/>
          <w:right w:val="single" w:color="B0B0B0" w:sz="2"/>
          <w:insideH w:val="single" w:color="D9D9D9" w:sz="2"/>
          <w:insideV w:val="single" w:color="D9D9D9" w:sz="2"/>
        </w:tblBorders>
      </w:tblPr>
      <w:tblGrid>
        <w:gridCol w:w="3116"/>
        <w:gridCol w:w="3116"/>
        <w:gridCol w:w="3116"/>
      </w:tblGrid>
      <w:tr>
        <w:trPr>
          <w:tblHeader/>
        </w:trPr>
        <w:tc>
          <w:tcPr>
            <w:tcW w:type="dxa" w:w="3116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tcW w:type="dxa" w:w="3116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XGBoost</w:t>
            </w:r>
          </w:p>
        </w:tc>
        <w:tc>
          <w:tcPr>
            <w:tcW w:type="dxa" w:w="3116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LightGBM</w:t>
            </w:r>
          </w:p>
        </w:tc>
      </w:tr>
      <w:tr>
        <w:trPr>
          <w:tblHeader w:val="false"/>
        </w:trP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MAE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163.33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163.86</w:t>
            </w:r>
          </w:p>
        </w:tc>
      </w:tr>
      <w:tr>
        <w:trPr>
          <w:tblHeader w:val="false"/>
        </w:trP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RMSE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445.42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439.34</w:t>
            </w:r>
          </w:p>
        </w:tc>
      </w:tr>
      <w:tr>
        <w:trPr>
          <w:tblHeader w:val="false"/>
        </w:trP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R²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0.885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0.888</w:t>
            </w:r>
          </w:p>
        </w:tc>
      </w:tr>
      <w:tr>
        <w:trPr>
          <w:tblHeader w:val="false"/>
        </w:trP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Error en picos altos (&gt;10.000)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5.153.7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4.998.2</w:t>
            </w:r>
          </w:p>
        </w:tc>
      </w:tr>
    </w:tbl>
    <w:p>
      <w:pPr>
        <w:spacing w:after="160"/>
      </w:pPr>
    </w:p>
    <w:p>
      <w:pPr>
        <w:spacing w:after="160"/>
        <w:jc w:val="both"/>
      </w:pPr>
      <w:r>
        <w:rPr>
          <w:b/>
          <w:bCs/>
          <w:i w:val="false"/>
          <w:iCs w:val="false"/>
          <w:sz w:val="22"/>
          <w:szCs w:val="22"/>
        </w:rPr>
        <w:t xml:space="preserve">Resultado: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empate técnico, con una ventaja marginal pero consistente de LightGBM en 3 de las 4 métricas. Se adopta </w:t>
      </w:r>
      <w:r>
        <w:rPr>
          <w:b/>
          <w:bCs/>
          <w:i w:val="false"/>
          <w:iCs w:val="false"/>
          <w:sz w:val="22"/>
          <w:szCs w:val="22"/>
        </w:rPr>
        <w:t xml:space="preserve">LightGBM como modelo principal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(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models/modelo_produccion_pet.joblib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), conservando ambos modelos por separado (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..._xgboost.joblib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..._lightgbm.joblib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) para trazabilidad.</w:t>
      </w:r>
    </w:p>
    <w:p>
      <w:pPr>
        <w:spacing w:after="160"/>
        <w:jc w:val="both"/>
      </w:pPr>
      <w:r>
        <w:rPr>
          <w:b/>
          <w:bCs/>
          <w:i w:val="false"/>
          <w:iCs w:val="false"/>
          <w:sz w:val="22"/>
          <w:szCs w:val="22"/>
        </w:rPr>
        <w:t xml:space="preserve">Nota metodológica sobre el gráfico de importancia de variables: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los gráficos de importancia de XGBoost (escala 0-1, basada en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gain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) y LightGBM (escala 0-1000, basada en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split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por defecto) usan métricas distintas y no son directamente comparables entre sí — la diferencia de escala no implica que un modelo haya "entendido mejor" los datos que el otro. Ambos coinciden en que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prod_pet_mes_anterior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es la variable dominante.</w:t>
      </w:r>
    </w:p>
    <w:p>
      <w:pPr>
        <w:pStyle w:val="Heading2"/>
        <w:spacing w:after="140" w:before="280"/>
      </w:pPr>
      <w:r>
        <w:rPr>
          <w:b/>
          <w:bCs/>
          <w:i w:val="false"/>
          <w:iCs w:val="false"/>
          <w:color w:val="2E5395"/>
          <w:sz w:val="24"/>
          <w:szCs w:val="24"/>
        </w:rPr>
        <w:t xml:space="preserve">10.8 Modelo final</w:t>
      </w:r>
    </w:p>
    <w:p>
      <w:pPr>
        <w:spacing w:after="1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Tras 5 iteraciones sobre el modelo base, la combinación ganadora es </w:t>
      </w:r>
      <w:r>
        <w:rPr>
          <w:b/>
          <w:bCs/>
          <w:i w:val="false"/>
          <w:iCs w:val="false"/>
          <w:sz w:val="22"/>
          <w:szCs w:val="22"/>
        </w:rPr>
        <w:t xml:space="preserve">LightGBM con las 8 features de la Iteración 3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(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declinacion_pet_anterior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incluida, sin log-transform ni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prod_pet_maxima_anterior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) — la mejor combinación de métricas entre todas las versiones probadas.</w:t>
      </w:r>
    </w:p>
    <w:p>
      <w:pPr>
        <w:pStyle w:val="Heading2"/>
        <w:spacing w:after="140" w:before="280"/>
      </w:pPr>
      <w:r>
        <w:rPr>
          <w:b/>
          <w:bCs/>
          <w:i w:val="false"/>
          <w:iCs w:val="false"/>
          <w:color w:val="2E5395"/>
          <w:sz w:val="24"/>
          <w:szCs w:val="24"/>
        </w:rPr>
        <w:t xml:space="preserve">10.9 Tabla comparativa completa</w:t>
      </w:r>
    </w:p>
    <w:tbl>
      <w:tblPr>
        <w:tblW w:type="dxa" w:w="9350"/>
        <w:tblBorders>
          <w:top w:val="single" w:color="B0B0B0" w:sz="2"/>
          <w:left w:val="single" w:color="B0B0B0" w:sz="2"/>
          <w:bottom w:val="single" w:color="B0B0B0" w:sz="2"/>
          <w:right w:val="single" w:color="B0B0B0" w:sz="2"/>
          <w:insideH w:val="single" w:color="D9D9D9" w:sz="2"/>
          <w:insideV w:val="single" w:color="D9D9D9" w:sz="2"/>
        </w:tblBorders>
      </w:tblPr>
      <w:tblGrid>
        <w:gridCol w:w="1335"/>
        <w:gridCol w:w="1335"/>
        <w:gridCol w:w="1335"/>
        <w:gridCol w:w="1335"/>
        <w:gridCol w:w="1335"/>
        <w:gridCol w:w="1335"/>
        <w:gridCol w:w="1335"/>
      </w:tblGrid>
      <w:tr>
        <w:trPr>
          <w:tblHeader/>
        </w:trPr>
        <w:tc>
          <w:tcPr>
            <w:tcW w:type="dxa" w:w="1335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tcW w:type="dxa" w:w="1335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Base (7 features)</w:t>
            </w:r>
          </w:p>
        </w:tc>
        <w:tc>
          <w:tcPr>
            <w:tcW w:type="dxa" w:w="1335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Con fuga (descartado)</w:t>
            </w:r>
          </w:p>
        </w:tc>
        <w:tc>
          <w:tcPr>
            <w:tcW w:type="dxa" w:w="1335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+ máxima histórica (descartado)</w:t>
            </w:r>
          </w:p>
        </w:tc>
        <w:tc>
          <w:tcPr>
            <w:tcW w:type="dxa" w:w="1335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Log-transform (descartado)</w:t>
            </w:r>
          </w:p>
        </w:tc>
        <w:tc>
          <w:tcPr>
            <w:tcW w:type="dxa" w:w="1335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XGBoost (8 features)</w:t>
            </w:r>
          </w:p>
        </w:tc>
        <w:tc>
          <w:tcPr>
            <w:tcW w:type="dxa" w:w="1335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LightGBM FINAL (8 features)</w:t>
            </w:r>
          </w:p>
        </w:tc>
      </w:tr>
      <w:tr>
        <w:trPr>
          <w:tblHeader w:val="false"/>
        </w:trPr>
        <w:tc>
          <w:tcPr>
            <w:tcW w:type="dxa" w:w="13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MAE</w:t>
            </w:r>
          </w:p>
        </w:tc>
        <w:tc>
          <w:tcPr>
            <w:tcW w:type="dxa" w:w="13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195.11</w:t>
            </w:r>
          </w:p>
        </w:tc>
        <w:tc>
          <w:tcPr>
            <w:tcW w:type="dxa" w:w="13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38.86</w:t>
            </w:r>
          </w:p>
        </w:tc>
        <w:tc>
          <w:tcPr>
            <w:tcW w:type="dxa" w:w="13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165.63</w:t>
            </w:r>
          </w:p>
        </w:tc>
        <w:tc>
          <w:tcPr>
            <w:tcW w:type="dxa" w:w="13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163.09</w:t>
            </w:r>
          </w:p>
        </w:tc>
        <w:tc>
          <w:tcPr>
            <w:tcW w:type="dxa" w:w="13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163.33</w:t>
            </w:r>
          </w:p>
        </w:tc>
        <w:tc>
          <w:tcPr>
            <w:tcW w:type="dxa" w:w="13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163.86</w:t>
            </w:r>
          </w:p>
        </w:tc>
      </w:tr>
      <w:tr>
        <w:trPr>
          <w:tblHeader w:val="false"/>
        </w:trPr>
        <w:tc>
          <w:tcPr>
            <w:tcW w:type="dxa" w:w="13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RMSE</w:t>
            </w:r>
          </w:p>
        </w:tc>
        <w:tc>
          <w:tcPr>
            <w:tcW w:type="dxa" w:w="13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520.31</w:t>
            </w:r>
          </w:p>
        </w:tc>
        <w:tc>
          <w:tcPr>
            <w:tcW w:type="dxa" w:w="13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204.07</w:t>
            </w:r>
          </w:p>
        </w:tc>
        <w:tc>
          <w:tcPr>
            <w:tcW w:type="dxa" w:w="13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444.47</w:t>
            </w:r>
          </w:p>
        </w:tc>
        <w:tc>
          <w:tcPr>
            <w:tcW w:type="dxa" w:w="13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501.67</w:t>
            </w:r>
          </w:p>
        </w:tc>
        <w:tc>
          <w:tcPr>
            <w:tcW w:type="dxa" w:w="13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445.42</w:t>
            </w:r>
          </w:p>
        </w:tc>
        <w:tc>
          <w:tcPr>
            <w:tcW w:type="dxa" w:w="13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439.34</w:t>
            </w:r>
          </w:p>
        </w:tc>
      </w:tr>
      <w:tr>
        <w:trPr>
          <w:tblHeader w:val="false"/>
        </w:trPr>
        <w:tc>
          <w:tcPr>
            <w:tcW w:type="dxa" w:w="13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R²</w:t>
            </w:r>
          </w:p>
        </w:tc>
        <w:tc>
          <w:tcPr>
            <w:tcW w:type="dxa" w:w="13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0.853</w:t>
            </w:r>
          </w:p>
        </w:tc>
        <w:tc>
          <w:tcPr>
            <w:tcW w:type="dxa" w:w="13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0.978</w:t>
            </w:r>
          </w:p>
        </w:tc>
        <w:tc>
          <w:tcPr>
            <w:tcW w:type="dxa" w:w="13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0.885</w:t>
            </w:r>
          </w:p>
        </w:tc>
        <w:tc>
          <w:tcPr>
            <w:tcW w:type="dxa" w:w="13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0.854</w:t>
            </w:r>
          </w:p>
        </w:tc>
        <w:tc>
          <w:tcPr>
            <w:tcW w:type="dxa" w:w="13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0.885</w:t>
            </w:r>
          </w:p>
        </w:tc>
        <w:tc>
          <w:tcPr>
            <w:tcW w:type="dxa" w:w="13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0.888</w:t>
            </w:r>
          </w:p>
        </w:tc>
      </w:tr>
    </w:tbl>
    <w:p>
      <w:pPr>
        <w:spacing w:after="160"/>
      </w:pPr>
    </w:p>
    <w:p>
      <w:pPr>
        <w:pStyle w:val="Heading2"/>
        <w:spacing w:after="140" w:before="280"/>
      </w:pPr>
      <w:r>
        <w:rPr>
          <w:b/>
          <w:bCs/>
          <w:i w:val="false"/>
          <w:iCs w:val="false"/>
          <w:color w:val="2E5395"/>
          <w:sz w:val="24"/>
          <w:szCs w:val="24"/>
        </w:rPr>
        <w:t xml:space="preserve">10.10 Limitación conocida (aceptada)</w:t>
      </w:r>
    </w:p>
    <w:p>
      <w:pPr>
        <w:spacing w:after="1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En todas las versiones válidas (XGBoost y LightGBM por igual), el modelo </w:t>
      </w:r>
      <w:r>
        <w:rPr>
          <w:b/>
          <w:bCs/>
          <w:i w:val="false"/>
          <w:iCs w:val="false"/>
          <w:sz w:val="22"/>
          <w:szCs w:val="22"/>
        </w:rPr>
        <w:t xml:space="preserve">subestima los pozos con picos de producción muy altos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(posibles eventos de reestimulación/refractura). Se probaron tres enfoques distintos para resolverlo (una variable nueva, un cambio de objetivo de entrenamiento, y un segundo algoritmo) y ninguno lo resolvió de fondo — uno incluso lo empeoró de forma más grave. Esto sugiere que el problema no es de ingeniería sobre los datos disponibles ni de elección de algoritmo, sino de </w:t>
      </w:r>
      <w:r>
        <w:rPr>
          <w:b/>
          <w:bCs/>
          <w:i w:val="false"/>
          <w:iCs w:val="false"/>
          <w:sz w:val="22"/>
          <w:szCs w:val="22"/>
        </w:rPr>
        <w:t xml:space="preserve">ausencia de una variable que el dataset no incluye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(por ejemplo, si se programó una intervención en el pozo). Se documenta como limitación conocida y se avanza con evidencia en mano, en vez de continuar iterando sin garantía de mejora.</w:t>
      </w:r>
    </w:p>
    <w:p>
      <w:pPr>
        <w:spacing w:after="1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El modelo final (LightGBM) se guardó en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models/modelo_produccion_pet.joblib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.</w:t>
      </w:r>
    </w:p>
    <w:p>
      <w:pPr>
        <w:pBdr>
          <w:bottom w:val="single" w:color="1F3864" w:sz="6" w:space="4"/>
        </w:pBdr>
        <w:spacing w:after="200" w:before="100"/>
      </w:pPr>
    </w:p>
    <w:p>
      <w:pPr>
        <w:pStyle w:val="Heading1"/>
        <w:pBdr>
          <w:bottom w:val="single" w:color="9DB3D6" w:sz="4" w:space="4"/>
        </w:pBdr>
        <w:spacing w:after="180" w:before="360"/>
      </w:pPr>
      <w:r>
        <w:rPr>
          <w:b/>
          <w:bCs/>
          <w:i w:val="false"/>
          <w:iCs w:val="false"/>
          <w:color w:val="1F3864"/>
          <w:sz w:val="30"/>
          <w:szCs w:val="30"/>
        </w:rPr>
        <w:t xml:space="preserve">11. </w:t>
      </w:r>
      <w:r>
        <w:rPr>
          <w:rFonts w:ascii="Consolas" w:cs="Consolas" w:eastAsia="Consolas" w:hAnsi="Consolas"/>
          <w:b/>
          <w:bCs/>
          <w:color w:val="1F3864"/>
          <w:sz w:val="30"/>
          <w:szCs w:val="30"/>
        </w:rPr>
        <w:t xml:space="preserve">notebooks/04_modelado_no_supervisado_dl.ipynb</w:t>
      </w:r>
      <w:r>
        <w:rPr>
          <w:b/>
          <w:bCs/>
          <w:i w:val="false"/>
          <w:iCs w:val="false"/>
          <w:color w:val="1F3864"/>
          <w:sz w:val="30"/>
          <w:szCs w:val="30"/>
        </w:rPr>
        <w:t xml:space="preserve"> — Clustering de pozos (K-Means)</w:t>
      </w:r>
    </w:p>
    <w:p>
      <w:pPr>
        <w:pStyle w:val="Heading2"/>
        <w:spacing w:after="140" w:before="280"/>
      </w:pPr>
      <w:r>
        <w:rPr>
          <w:b/>
          <w:bCs/>
          <w:i w:val="false"/>
          <w:iCs w:val="false"/>
          <w:color w:val="2E5395"/>
          <w:sz w:val="24"/>
          <w:szCs w:val="24"/>
        </w:rPr>
        <w:t xml:space="preserve">11.1 Diseño del experimento</w:t>
      </w:r>
    </w:p>
    <w:p>
      <w:pPr>
        <w:spacing w:after="100"/>
        <w:ind w:left="300"/>
      </w:pPr>
      <w:r>
        <w:rPr>
          <w:b/>
          <w:bCs/>
          <w:color w:val="1F3864"/>
          <w:sz w:val="22"/>
          <w:szCs w:val="22"/>
        </w:rPr>
        <w:t xml:space="preserve">• </w:t>
      </w:r>
      <w:r>
        <w:rPr>
          <w:b/>
          <w:bCs/>
          <w:i w:val="false"/>
          <w:iCs w:val="false"/>
          <w:sz w:val="22"/>
          <w:szCs w:val="22"/>
        </w:rPr>
        <w:t xml:space="preserve">Objetivo: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agrupar los pozos según su comportamiento de producción y revisar si los pozos con picos muy altos (la limitación del modelo supervisado) forman un grupo propio.</w:t>
      </w:r>
    </w:p>
    <w:p>
      <w:pPr>
        <w:spacing w:after="100"/>
        <w:ind w:left="300"/>
      </w:pPr>
      <w:r>
        <w:rPr>
          <w:b/>
          <w:bCs/>
          <w:color w:val="1F3864"/>
          <w:sz w:val="22"/>
          <w:szCs w:val="22"/>
        </w:rPr>
        <w:t xml:space="preserve">• </w:t>
      </w:r>
      <w:r>
        <w:rPr>
          <w:b/>
          <w:bCs/>
          <w:i w:val="false"/>
          <w:iCs w:val="false"/>
          <w:sz w:val="22"/>
          <w:szCs w:val="22"/>
        </w:rPr>
        <w:t xml:space="preserve">Unidad de análisis: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un pozo = una fila, resumido en 4 variables: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pico_prod_pet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(máximo histórico),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declinacion_promedio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(declinación mensual típica, calculada con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declinacion_pet_anterior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),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antiguedad_total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(meses de historia) y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ratio_gas_pet_promedio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(relación gas/petróleo típica).</w:t>
      </w:r>
    </w:p>
    <w:p>
      <w:pPr>
        <w:spacing w:after="100"/>
        <w:ind w:left="300"/>
      </w:pPr>
      <w:r>
        <w:rPr>
          <w:b/>
          <w:bCs/>
          <w:color w:val="1F3864"/>
          <w:sz w:val="22"/>
          <w:szCs w:val="22"/>
        </w:rPr>
        <w:t xml:space="preserve">• </w:t>
      </w:r>
      <w:r>
        <w:rPr>
          <w:b/>
          <w:bCs/>
          <w:i w:val="false"/>
          <w:iCs w:val="false"/>
          <w:sz w:val="22"/>
          <w:szCs w:val="22"/>
        </w:rPr>
        <w:t xml:space="preserve">Algoritmo: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K-Means con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init="k-means++"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n_init=10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random_state=42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sobre variables escaladas con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StandardScaler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.</w:t>
      </w:r>
    </w:p>
    <w:p>
      <w:pPr>
        <w:spacing w:after="100"/>
        <w:ind w:left="300"/>
      </w:pPr>
      <w:r>
        <w:rPr>
          <w:b/>
          <w:bCs/>
          <w:color w:val="1F3864"/>
          <w:sz w:val="22"/>
          <w:szCs w:val="22"/>
        </w:rPr>
        <w:t xml:space="preserve">• </w:t>
      </w:r>
      <w:r>
        <w:rPr>
          <w:b/>
          <w:bCs/>
          <w:i w:val="false"/>
          <w:iCs w:val="false"/>
          <w:sz w:val="22"/>
          <w:szCs w:val="22"/>
        </w:rPr>
        <w:t xml:space="preserve">Alternativa descartada: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ajustar curvas de declinación tipo Arps pozo por pozo. Es más fiel físicamente, pero costoso de ajustar y de explicar en el tiempo disponible; queda como mejora futura.</w:t>
      </w:r>
    </w:p>
    <w:p>
      <w:pPr>
        <w:spacing w:after="160"/>
      </w:pPr>
    </w:p>
    <w:p>
      <w:pPr>
        <w:pStyle w:val="Heading2"/>
        <w:spacing w:after="140" w:before="280"/>
      </w:pPr>
      <w:r>
        <w:rPr>
          <w:b/>
          <w:bCs/>
          <w:i w:val="false"/>
          <w:iCs w:val="false"/>
          <w:color w:val="2E5395"/>
          <w:sz w:val="24"/>
          <w:szCs w:val="24"/>
        </w:rPr>
        <w:t xml:space="preserve">11.2 Primera versión: resultado engañoso (descartado)</w:t>
      </w:r>
    </w:p>
    <w:p>
      <w:pPr>
        <w:spacing w:after="1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La primera corrida resumió cada pozo con el </w:t>
      </w:r>
      <w:r>
        <w:rPr>
          <w:b/>
          <w:bCs/>
          <w:i w:val="false"/>
          <w:iCs w:val="false"/>
          <w:sz w:val="22"/>
          <w:szCs w:val="22"/>
        </w:rPr>
        <w:t xml:space="preserve">promedio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de la declinación y del ratio gas/petróleo (4.343 pozos tras el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dropna()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). Con k = 4, </w:t>
      </w:r>
      <w:r>
        <w:rPr>
          <w:b/>
          <w:bCs/>
          <w:i w:val="false"/>
          <w:iCs w:val="false"/>
          <w:sz w:val="22"/>
          <w:szCs w:val="22"/>
        </w:rPr>
        <w:t xml:space="preserve">dos de los cuatro clusters tenían un solo pozo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: el pozo 162450 (pico de 0,005 y ratio gas/petróleo de 1.339.944, por dividir por una producción casi nula) y el pozo 137343 (declinación promedio de 839.563). El silhouette de 0,542 estaba inflado por esos dos puntos aislados y el PCA mostraba los 4.341 pozos restantes aplastados en una línea.</w:t>
      </w:r>
    </w:p>
    <w:p>
      <w:pPr>
        <w:spacing w:after="160"/>
        <w:jc w:val="both"/>
      </w:pPr>
      <w:r>
        <w:rPr>
          <w:b/>
          <w:bCs/>
          <w:i w:val="false"/>
          <w:iCs w:val="false"/>
          <w:sz w:val="22"/>
          <w:szCs w:val="22"/>
        </w:rPr>
        <w:t xml:space="preserve">Diagnóstico: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la declinación y el ratio son cocientes que se disparan cuando el denominador está cerca de cero, y unos pocos valores extremos distorsionaban el promedio y el escalado. En lugar de cerrar el notebook con un k que "daba bien" en las métricas, se corrigió el origen del problema.</w:t>
      </w:r>
    </w:p>
    <w:p>
      <w:pPr>
        <w:pStyle w:val="Heading2"/>
        <w:spacing w:after="140" w:before="280"/>
      </w:pPr>
      <w:r>
        <w:rPr>
          <w:b/>
          <w:bCs/>
          <w:i w:val="false"/>
          <w:iCs w:val="false"/>
          <w:color w:val="2E5395"/>
          <w:sz w:val="24"/>
          <w:szCs w:val="24"/>
        </w:rPr>
        <w:t xml:space="preserve">11.3 Correcciones aplicadas</w:t>
      </w:r>
    </w:p>
    <w:tbl>
      <w:tblPr>
        <w:tblW w:type="dxa" w:w="9350"/>
        <w:tblBorders>
          <w:top w:val="single" w:color="B0B0B0" w:sz="2"/>
          <w:left w:val="single" w:color="B0B0B0" w:sz="2"/>
          <w:bottom w:val="single" w:color="B0B0B0" w:sz="2"/>
          <w:right w:val="single" w:color="B0B0B0" w:sz="2"/>
          <w:insideH w:val="single" w:color="D9D9D9" w:sz="2"/>
          <w:insideV w:val="single" w:color="D9D9D9" w:sz="2"/>
        </w:tblBorders>
      </w:tblPr>
      <w:tblGrid>
        <w:gridCol w:w="4675"/>
        <w:gridCol w:w="4675"/>
      </w:tblGrid>
      <w:tr>
        <w:trPr>
          <w:tblHeader/>
        </w:trPr>
        <w:tc>
          <w:tcPr>
            <w:tcW w:type="dxa" w:w="4675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4675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Corrección</w:t>
            </w:r>
          </w:p>
        </w:tc>
      </w:tr>
      <w:t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48 pozos con pico menor a 1 (casi sin petróleo) generan ratios absurdos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 filtran los pozos con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pico_prod_pet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menor a 1 (4.343 →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4.295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pozos)</w:t>
            </w:r>
          </w:p>
        </w:tc>
      </w:tr>
      <w:t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El promedio es muy sensible a valores extremos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 usa la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mediana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declinacion_promedio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y </w:t>
            </w:r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ratio_gas_pet_promedio</w:t>
            </w:r>
          </w:p>
        </w:tc>
      </w:tr>
      <w:t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La declinación no tiene techo (piso natural en -1: la producción cae a cero)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 recorta entre -1 y el percentil 99 (≈ 4,46)</w:t>
            </w:r>
          </w:p>
        </w:tc>
      </w:tr>
      <w:t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pico_prod_pet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y el ratio tienen cola muy larga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 aplica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np.log1p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a ambas</w:t>
            </w:r>
          </w:p>
        </w:tc>
      </w:tr>
      <w:t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Las variables están en escalas distintas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StandardScaler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(media 0, desvío 1)</w:t>
            </w:r>
          </w:p>
        </w:tc>
      </w:tr>
    </w:tbl>
    <w:p>
      <w:pPr>
        <w:spacing w:after="160"/>
      </w:pPr>
    </w:p>
    <w:p>
      <w:pPr>
        <w:spacing w:after="160"/>
        <w:jc w:val="both"/>
      </w:pPr>
      <w:r>
        <w:rPr>
          <w:b/>
          <w:bCs/>
          <w:i w:val="false"/>
          <w:iCs w:val="false"/>
          <w:sz w:val="22"/>
          <w:szCs w:val="22"/>
        </w:rPr>
        <w:t xml:space="preserve">Cobertura del clustering: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el dataset tiene 5.089 pozos únicos y el clustering usa 4.295. Quedaron afuera 508 pozos que nunca produjeron petróleo (gasíferos puros, su ratio gas/petróleo no está definido) y pozos con muy poca historia o producción casi nula. Es una decisión de diseño: se agrupan pozos con producción real de petróleo.</w:t>
      </w:r>
    </w:p>
    <w:p>
      <w:pPr>
        <w:pStyle w:val="Heading2"/>
        <w:spacing w:after="140" w:before="280"/>
      </w:pPr>
      <w:r>
        <w:rPr>
          <w:b/>
          <w:bCs/>
          <w:i w:val="false"/>
          <w:iCs w:val="false"/>
          <w:color w:val="2E5395"/>
          <w:sz w:val="24"/>
          <w:szCs w:val="24"/>
        </w:rPr>
        <w:t xml:space="preserve">11.4 Elección de k</w:t>
      </w:r>
    </w:p>
    <w:tbl>
      <w:tblPr>
        <w:tblW w:type="dxa" w:w="9350"/>
        <w:tblBorders>
          <w:top w:val="single" w:color="B0B0B0" w:sz="2"/>
          <w:left w:val="single" w:color="B0B0B0" w:sz="2"/>
          <w:bottom w:val="single" w:color="B0B0B0" w:sz="2"/>
          <w:right w:val="single" w:color="B0B0B0" w:sz="2"/>
          <w:insideH w:val="single" w:color="D9D9D9" w:sz="2"/>
          <w:insideV w:val="single" w:color="D9D9D9" w:sz="2"/>
        </w:tblBorders>
      </w:tblPr>
      <w:tblGrid>
        <w:gridCol w:w="3116"/>
        <w:gridCol w:w="3117"/>
        <w:gridCol w:w="3117"/>
      </w:tblGrid>
      <w:tr>
        <w:trPr>
          <w:tblHeader/>
        </w:trPr>
        <w:tc>
          <w:tcPr>
            <w:tcW w:type="dxa" w:w="3116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k</w:t>
            </w:r>
          </w:p>
        </w:tc>
        <w:tc>
          <w:tcPr>
            <w:tcW w:type="dxa" w:w="3117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Inercia</w:t>
            </w:r>
          </w:p>
        </w:tc>
        <w:tc>
          <w:tcPr>
            <w:tcW w:type="dxa" w:w="3117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Silhouette</w:t>
            </w:r>
          </w:p>
        </w:tc>
      </w:tr>
      <w:t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11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10.340</w:t>
            </w:r>
          </w:p>
        </w:tc>
        <w:tc>
          <w:tcPr>
            <w:tcW w:type="dxa" w:w="311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0,440</w:t>
            </w:r>
          </w:p>
        </w:tc>
      </w:tr>
      <w:t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11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6.826</w:t>
            </w:r>
          </w:p>
        </w:tc>
        <w:tc>
          <w:tcPr>
            <w:tcW w:type="dxa" w:w="311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0,486</w:t>
            </w:r>
          </w:p>
        </w:tc>
      </w:tr>
      <w:t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11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4.417</w:t>
            </w:r>
          </w:p>
        </w:tc>
        <w:tc>
          <w:tcPr>
            <w:tcW w:type="dxa" w:w="311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0,473</w:t>
            </w:r>
          </w:p>
        </w:tc>
      </w:tr>
      <w:t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11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3.791</w:t>
            </w:r>
          </w:p>
        </w:tc>
        <w:tc>
          <w:tcPr>
            <w:tcW w:type="dxa" w:w="311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0,456</w:t>
            </w:r>
          </w:p>
        </w:tc>
      </w:tr>
      <w:t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311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3.245</w:t>
            </w:r>
          </w:p>
        </w:tc>
        <w:tc>
          <w:tcPr>
            <w:tcW w:type="dxa" w:w="311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0,457</w:t>
            </w:r>
          </w:p>
        </w:tc>
      </w:tr>
      <w:t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311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2.898</w:t>
            </w:r>
          </w:p>
        </w:tc>
        <w:tc>
          <w:tcPr>
            <w:tcW w:type="dxa" w:w="311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0,441</w:t>
            </w:r>
          </w:p>
        </w:tc>
      </w:tr>
      <w:t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311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2.617</w:t>
            </w:r>
          </w:p>
        </w:tc>
        <w:tc>
          <w:tcPr>
            <w:tcW w:type="dxa" w:w="311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0,450</w:t>
            </w:r>
          </w:p>
        </w:tc>
      </w:tr>
    </w:tbl>
    <w:p>
      <w:pPr>
        <w:spacing w:after="160"/>
      </w:pPr>
    </w:p>
    <w:p>
      <w:pPr>
        <w:spacing w:after="1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El codo se ubica en </w:t>
      </w:r>
      <w:r>
        <w:rPr>
          <w:b/>
          <w:bCs/>
          <w:i w:val="false"/>
          <w:iCs w:val="false"/>
          <w:sz w:val="22"/>
          <w:szCs w:val="22"/>
        </w:rPr>
        <w:t xml:space="preserve">k = 4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(la inercia cae fuerte de 3 a 4 y después se aplana). El silhouette es máximo en k = 3 (0,486), pero la diferencia con k = 4 (0,473) es chica. Se eligió </w:t>
      </w:r>
      <w:r>
        <w:rPr>
          <w:b/>
          <w:bCs/>
          <w:i w:val="false"/>
          <w:iCs w:val="false"/>
          <w:sz w:val="22"/>
          <w:szCs w:val="22"/>
        </w:rPr>
        <w:t xml:space="preserve">k = 4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porque separa grupos que se pueden explicar físicamente.</w:t>
      </w:r>
    </w:p>
    <w:p>
      <w:pPr>
        <w:pStyle w:val="Heading2"/>
        <w:spacing w:after="140" w:before="280"/>
      </w:pPr>
      <w:r>
        <w:rPr>
          <w:b/>
          <w:bCs/>
          <w:i w:val="false"/>
          <w:iCs w:val="false"/>
          <w:color w:val="2E5395"/>
          <w:sz w:val="24"/>
          <w:szCs w:val="24"/>
        </w:rPr>
        <w:t xml:space="preserve">11.5 Perfil de los clusters</w:t>
      </w:r>
    </w:p>
    <w:p>
      <w:pPr>
        <w:spacing w:after="1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Valores típicos (mediana) calculados con las variables originales, sin logaritmo ni recorte:</w:t>
      </w:r>
    </w:p>
    <w:tbl>
      <w:tblPr>
        <w:tblW w:type="dxa" w:w="9350"/>
        <w:tblBorders>
          <w:top w:val="single" w:color="B0B0B0" w:sz="2"/>
          <w:left w:val="single" w:color="B0B0B0" w:sz="2"/>
          <w:bottom w:val="single" w:color="B0B0B0" w:sz="2"/>
          <w:right w:val="single" w:color="B0B0B0" w:sz="2"/>
          <w:insideH w:val="single" w:color="D9D9D9" w:sz="2"/>
          <w:insideV w:val="single" w:color="D9D9D9" w:sz="2"/>
        </w:tblBorders>
      </w:tblPr>
      <w:tblGrid>
        <w:gridCol w:w="900"/>
        <w:gridCol w:w="3250"/>
        <w:gridCol w:w="900"/>
        <w:gridCol w:w="1400"/>
        <w:gridCol w:w="1700"/>
        <w:gridCol w:w="1200"/>
      </w:tblGrid>
      <w:tr>
        <w:trPr>
          <w:tblHeader/>
        </w:trPr>
        <w:tc>
          <w:tcPr>
            <w:tcW w:type="dxa" w:w="900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Cluster</w:t>
            </w:r>
          </w:p>
        </w:tc>
        <w:tc>
          <w:tcPr>
            <w:tcW w:type="dxa" w:w="3250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Interpretación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Pozos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Pico prod_pet</w:t>
            </w:r>
          </w:p>
        </w:tc>
        <w:tc>
          <w:tcPr>
            <w:tcW w:type="dxa" w:w="1700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Antigüedad (meses)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Ratio gas/pet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2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Modernos de alta producción de petróleo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(tipo Vaca Muerta)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2.009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5.273</w:t>
            </w:r>
          </w:p>
        </w:tc>
        <w:tc>
          <w:tcPr>
            <w:tcW w:type="dxa" w:w="1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33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0,14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2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Viejos de producción media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1.123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809</w:t>
            </w:r>
          </w:p>
        </w:tc>
        <w:tc>
          <w:tcPr>
            <w:tcW w:type="dxa" w:w="1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138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0,98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32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Viejos con mucho gas y casi nada de petróleo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1.088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53</w:t>
            </w:r>
          </w:p>
        </w:tc>
        <w:tc>
          <w:tcPr>
            <w:tcW w:type="dxa" w:w="1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105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55,0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2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Recién puestos en producción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(3 a 5 meses de historia, ya pasado su pico inicial)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75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6.053</w:t>
            </w:r>
          </w:p>
        </w:tc>
        <w:tc>
          <w:tcPr>
            <w:tcW w:type="dxa" w:w="1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0,20</w:t>
            </w:r>
          </w:p>
        </w:tc>
      </w:tr>
    </w:tbl>
    <w:p>
      <w:pPr>
        <w:spacing w:after="160"/>
      </w:pPr>
    </w:p>
    <w:p>
      <w:pPr>
        <w:spacing w:after="1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La declinación típica es casi igual en los tres clusters grandes (entre -0,02 y -0,04), así que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declinacion_promedio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aporta poco para separarlos; los diferencian el pico, la antigüedad y el ratio. El cluster 2 se distingue por esa variable (mediana de 6,76) porque, con tan poca historia, su "declinación" es en realidad el crecimiento de arranque, no una curva de declinación.</w:t>
      </w:r>
    </w:p>
    <w:p>
      <w:pPr>
        <w:pStyle w:val="Heading2"/>
        <w:spacing w:after="140" w:before="280"/>
      </w:pPr>
      <w:r>
        <w:rPr>
          <w:b/>
          <w:bCs/>
          <w:i w:val="false"/>
          <w:iCs w:val="false"/>
          <w:color w:val="2E5395"/>
          <w:sz w:val="24"/>
          <w:szCs w:val="24"/>
        </w:rPr>
        <w:t xml:space="preserve">11.6 Validación visual</w:t>
      </w:r>
    </w:p>
    <w:p>
      <w:pPr>
        <w:spacing w:after="100"/>
        <w:ind w:left="300"/>
      </w:pPr>
      <w:r>
        <w:rPr>
          <w:b/>
          <w:bCs/>
          <w:color w:val="1F3864"/>
          <w:sz w:val="22"/>
          <w:szCs w:val="22"/>
        </w:rPr>
        <w:t xml:space="preserve">• </w:t>
      </w:r>
      <w:r>
        <w:rPr>
          <w:b/>
          <w:bCs/>
          <w:i w:val="false"/>
          <w:iCs w:val="false"/>
          <w:sz w:val="22"/>
          <w:szCs w:val="22"/>
        </w:rPr>
        <w:t xml:space="preserve">PCA en 2D: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los dos componentes explican ≈ 79% de la información (55% + 24%). Los clusters 0, 1 y 3 forman un </w:t>
      </w:r>
      <w:r>
        <w:rPr>
          <w:b/>
          <w:bCs/>
          <w:i w:val="false"/>
          <w:iCs w:val="false"/>
          <w:sz w:val="22"/>
          <w:szCs w:val="22"/>
        </w:rPr>
        <w:t xml:space="preserve">continuo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(de pozos chicos y gasíferos a pozos grandes y modernos) que K-Means corta en tres tramos, con solapamiento en los bordes. El cluster 2 sí se separa claramente. Es decir, el clustering segmenta una gradación de pozos, no descubre grupos totalmente aislados.</w:t>
      </w:r>
    </w:p>
    <w:p>
      <w:pPr>
        <w:spacing w:after="100"/>
        <w:ind w:left="300"/>
      </w:pPr>
      <w:r>
        <w:rPr>
          <w:b/>
          <w:bCs/>
          <w:color w:val="1F3864"/>
          <w:sz w:val="22"/>
          <w:szCs w:val="22"/>
        </w:rPr>
        <w:t xml:space="preserve">• </w:t>
      </w:r>
      <w:r>
        <w:rPr>
          <w:b/>
          <w:bCs/>
          <w:i w:val="false"/>
          <w:iCs w:val="false"/>
          <w:sz w:val="22"/>
          <w:szCs w:val="22"/>
        </w:rPr>
        <w:t xml:space="preserve">Curvas representativas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(pozo más cercano al centro de cada cluster: 159285, 153344, 164529 y 167147): tienen sentido físico. El cluster 0 es una línea chata cerca de 50; el 1 muestra un pico chico y declinación lenta durante unos 140 meses; el 3 llega a ~4.400 y baja de forma sostenida; el 2 sube hasta ~6.400 en el mes 3 y empieza a bajar.</w:t>
      </w:r>
    </w:p>
    <w:p>
      <w:pPr>
        <w:spacing w:after="160"/>
      </w:pPr>
    </w:p>
    <w:p>
      <w:pPr>
        <w:pStyle w:val="Heading2"/>
        <w:spacing w:after="140" w:before="280"/>
      </w:pPr>
      <w:r>
        <w:rPr>
          <w:b/>
          <w:bCs/>
          <w:i w:val="false"/>
          <w:iCs w:val="false"/>
          <w:color w:val="2E5395"/>
          <w:sz w:val="24"/>
          <w:szCs w:val="24"/>
        </w:rPr>
        <w:t xml:space="preserve">11.7 Cruce con la limitación del modelo supervisado</w:t>
      </w:r>
    </w:p>
    <w:p>
      <w:pPr>
        <w:spacing w:after="1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De los </w:t>
      </w:r>
      <w:r>
        <w:rPr>
          <w:b/>
          <w:bCs/>
          <w:i w:val="false"/>
          <w:iCs w:val="false"/>
          <w:sz w:val="22"/>
          <w:szCs w:val="22"/>
        </w:rPr>
        <w:t xml:space="preserve">94 pozos con pico mayor a 10.000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88 caen en el cluster de pozos modernos de alta producción y 6 en el de pozos recién puestos en producción. Es coherente con que son los pozos más productivos, pero no revela un subgrupo distinto: el cluster 3 es grande y la información que aporta es limitada. El clustering </w:t>
      </w:r>
      <w:r>
        <w:rPr>
          <w:b/>
          <w:bCs/>
          <w:i w:val="false"/>
          <w:iCs w:val="false"/>
          <w:sz w:val="22"/>
          <w:szCs w:val="22"/>
        </w:rPr>
        <w:t xml:space="preserve">no confirma ni descarta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la hipótesis de reestimulación como causa de la subestimación del modelo.</w:t>
      </w:r>
    </w:p>
    <w:p>
      <w:pPr>
        <w:pStyle w:val="Heading2"/>
        <w:spacing w:after="140" w:before="280"/>
      </w:pPr>
      <w:r>
        <w:rPr>
          <w:b/>
          <w:bCs/>
          <w:i w:val="false"/>
          <w:iCs w:val="false"/>
          <w:color w:val="2E5395"/>
          <w:sz w:val="24"/>
          <w:szCs w:val="24"/>
        </w:rPr>
        <w:t xml:space="preserve">11.8 Limitaciones</w:t>
      </w:r>
    </w:p>
    <w:p>
      <w:pPr>
        <w:spacing w:after="100"/>
        <w:ind w:left="300"/>
      </w:pPr>
      <w:r>
        <w:rPr>
          <w:b/>
          <w:bCs/>
          <w:color w:val="1F3864"/>
          <w:sz w:val="22"/>
          <w:szCs w:val="22"/>
        </w:rPr>
        <w:t xml:space="preserve">• 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El silhouette (≈ 0,47) indica una estructura moderada: hay grupos reales, pero se solapan en parte.</w:t>
      </w:r>
    </w:p>
    <w:p>
      <w:pPr>
        <w:spacing w:after="100"/>
        <w:ind w:left="300"/>
      </w:pPr>
      <w:r>
        <w:rPr>
          <w:b/>
          <w:bCs/>
          <w:color w:val="1F3864"/>
          <w:sz w:val="22"/>
          <w:szCs w:val="22"/>
        </w:rPr>
        <w:t xml:space="preserve">•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declinacion_promedio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casi no separa los clusters grandes. Una mejora futura sería ajustar curvas de Arps por pozo.</w:t>
      </w:r>
    </w:p>
    <w:p>
      <w:pPr>
        <w:spacing w:after="100"/>
        <w:ind w:left="300"/>
      </w:pPr>
      <w:r>
        <w:rPr>
          <w:b/>
          <w:bCs/>
          <w:color w:val="1F3864"/>
          <w:sz w:val="22"/>
          <w:szCs w:val="22"/>
        </w:rPr>
        <w:t xml:space="preserve">• 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Los pozos gasíferos puros y los de muy poca historia quedan fuera del análisis.</w:t>
      </w:r>
    </w:p>
    <w:p>
      <w:pPr>
        <w:pStyle w:val="Heading2"/>
        <w:spacing w:after="140" w:before="280"/>
      </w:pPr>
      <w:r>
        <w:rPr>
          <w:b/>
          <w:bCs/>
          <w:i w:val="false"/>
          <w:iCs w:val="false"/>
          <w:color w:val="2E5395"/>
          <w:sz w:val="24"/>
          <w:szCs w:val="24"/>
        </w:rPr>
        <w:t xml:space="preserve">11.9 Archivos generados</w:t>
      </w:r>
    </w:p>
    <w:p>
      <w:pPr>
        <w:spacing w:after="100"/>
        <w:ind w:left="300"/>
      </w:pPr>
      <w:r>
        <w:rPr>
          <w:b/>
          <w:bCs/>
          <w:color w:val="1F3864"/>
          <w:sz w:val="22"/>
          <w:szCs w:val="22"/>
        </w:rPr>
        <w:t xml:space="preserve">•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data/processed/pozos_con_cluster.csv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: pozos con su cluster y valores originales.</w:t>
      </w:r>
    </w:p>
    <w:p>
      <w:pPr>
        <w:spacing w:after="100"/>
        <w:ind w:left="300"/>
      </w:pPr>
      <w:r>
        <w:rPr>
          <w:b/>
          <w:bCs/>
          <w:color w:val="1F3864"/>
          <w:sz w:val="22"/>
          <w:szCs w:val="22"/>
        </w:rPr>
        <w:t xml:space="preserve">•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models/modelo_clustering_kmeans.joblib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models/scaler_clustering.joblib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: modelo y scaler entrenados.</w:t>
      </w:r>
    </w:p>
    <w:p>
      <w:pPr>
        <w:spacing w:after="100"/>
        <w:ind w:left="300"/>
      </w:pPr>
      <w:r>
        <w:rPr>
          <w:b/>
          <w:bCs/>
          <w:color w:val="1F3864"/>
          <w:sz w:val="22"/>
          <w:szCs w:val="22"/>
        </w:rPr>
        <w:t xml:space="preserve">•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models/tope_declinacion_clustering.joblib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: tope del recorte de la declinación, necesario para asignar un cluster a un pozo nuevo (recorte, logaritmo y escalado, en ese orden).</w:t>
      </w:r>
    </w:p>
    <w:p>
      <w:pPr>
        <w:spacing w:after="160"/>
      </w:pPr>
    </w:p>
    <w:p>
      <w:pPr>
        <w:pStyle w:val="Heading1"/>
        <w:pBdr>
          <w:bottom w:val="single" w:color="9DB3D6" w:sz="4" w:space="4"/>
        </w:pBdr>
        <w:spacing w:after="180" w:before="360"/>
      </w:pPr>
      <w:r>
        <w:rPr>
          <w:b/>
          <w:bCs/>
          <w:i w:val="false"/>
          <w:iCs w:val="false"/>
          <w:color w:val="1F3864"/>
          <w:sz w:val="30"/>
          <w:szCs w:val="30"/>
        </w:rPr>
        <w:t xml:space="preserve">12. Próximos pasos</w:t>
      </w:r>
    </w:p>
    <w:p>
      <w:pPr>
        <w:spacing w:after="120"/>
        <w:ind w:left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i w:val="false"/>
          <w:iCs w:val="false"/>
          <w:sz w:val="22"/>
          <w:szCs w:val="22"/>
        </w:rPr>
        <w:t xml:space="preserve">Explicabilidad: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aplicar SHAP sobre el modelo LightGBM final.</w:t>
      </w:r>
    </w:p>
    <w:p>
      <w:pPr>
        <w:spacing w:after="120"/>
        <w:ind w:left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i w:val="false"/>
          <w:iCs w:val="false"/>
          <w:sz w:val="22"/>
          <w:szCs w:val="22"/>
        </w:rPr>
        <w:t xml:space="preserve">Optimización (opcional):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evaluar una ronda de Optuna sobre el modelo de regresión, si el cronograma lo permite.</w:t>
      </w:r>
    </w:p>
    <w:p>
      <w:pPr>
        <w:spacing w:after="120"/>
        <w:ind w:left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i w:val="false"/>
          <w:iCs w:val="false"/>
          <w:sz w:val="22"/>
          <w:szCs w:val="22"/>
        </w:rPr>
        <w:t xml:space="preserve">Entrega Final: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src/train.py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src/predict.py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API en FastAPI (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api/app.py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api/schemas.py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), Dockerfile y documentación completa en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README.md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.</w:t>
      </w:r>
    </w:p>
    <w:p>
      <w:pPr>
        <w:spacing w:after="120"/>
        <w:ind w:left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i w:val="false"/>
          <w:iCs w:val="false"/>
          <w:sz w:val="22"/>
          <w:szCs w:val="22"/>
        </w:rPr>
        <w:t xml:space="preserve">Repositorio: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confirmar que todo esté pusheado y mergeado a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main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mediante Pull Request.</w:t>
      </w:r>
    </w:p>
    <w:sectPr>
      <w:headerReference w:type="default" r:id="rId7"/>
      <w:footerReference w:type="default" r:id="rId8"/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C8C8C"/>
        <w:sz w:val="16"/>
        <w:szCs w:val="16"/>
      </w:rPr>
      <w:t xml:space="preserve">Página </w:t>
    </w:r>
    <w:r>
      <w:rPr>
        <w:color w:val="8C8C8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C8C8C"/>
        <w:sz w:val="16"/>
        <w:szCs w:val="16"/>
      </w:rPr>
      <w:t xml:space="preserve">Proyecto Final Data Science — YPF / Vaca Muerta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2026-09-30T22:20:06.939Z</dcterms:created>
  <dcterms:modified xsi:type="dcterms:W3CDTF">2026-09-30T22:20:06.940Z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