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Pre-Entrega 4 — Modelado No Supervisado (Clustering)</w:t>
      </w:r>
    </w:p>
    <w:p>
      <w:pPr>
        <w:spacing w:after="300"/>
        <w:jc w:val="center"/>
      </w:pPr>
      <w:r>
        <w:rPr>
          <w:i/>
          <w:iCs/>
        </w:rPr>
        <w:t xml:space="preserve">Proyecto Final Integrador — Data Science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9E2F3" w:val="clear"/>
          </w:tcPr>
          <w:p>
            <w:r>
              <w:rPr>
                <w:b/>
                <w:bCs/>
              </w:rPr>
              <w:t xml:space="preserve">Alumnos</w:t>
            </w:r>
          </w:p>
        </w:tc>
        <w:tc>
          <w:tcPr>
            <w:tcW w:type="dxa" w:w="6240"/>
          </w:tcPr>
          <w:p>
            <w:r>
              <w:rPr>
                <w:b w:val="false"/>
                <w:bCs w:val="false"/>
              </w:rPr>
              <w:t xml:space="preserve">Cristian Alejandro Aguilera, Abigail Roxana Vicentelo, Ian Lionel Tapias Díaz</w:t>
            </w:r>
          </w:p>
        </w:tc>
      </w:tr>
      <w:tr>
        <w:tc>
          <w:tcPr>
            <w:tcW w:type="dxa" w:w="3120"/>
            <w:shd w:fill="D9E2F3" w:val="clear"/>
          </w:tcPr>
          <w:p>
            <w:r>
              <w:rPr>
                <w:b/>
                <w:bCs/>
              </w:rPr>
              <w:t xml:space="preserve">Programa</w:t>
            </w:r>
          </w:p>
        </w:tc>
        <w:tc>
          <w:tcPr>
            <w:tcW w:type="dxa" w:w="6240"/>
          </w:tcPr>
          <w:p>
            <w:r>
              <w:rPr>
                <w:b w:val="false"/>
                <w:bCs w:val="false"/>
              </w:rPr>
              <w:t xml:space="preserve">Data Science 2026 (Fundación YPF - Jump)</w:t>
            </w:r>
          </w:p>
        </w:tc>
      </w:tr>
      <w:tr>
        <w:tc>
          <w:tcPr>
            <w:tcW w:type="dxa" w:w="3120"/>
            <w:shd w:fill="D9E2F3" w:val="clear"/>
          </w:tcPr>
          <w:p>
            <w:r>
              <w:rPr>
                <w:b/>
                <w:bCs/>
              </w:rPr>
              <w:t xml:space="preserve">Repositorio GitHub</w:t>
            </w:r>
          </w:p>
        </w:tc>
        <w:tc>
          <w:tcPr>
            <w:tcW w:type="dxa" w:w="6240"/>
          </w:tcPr>
          <w:p>
            <w:r>
              <w:rPr>
                <w:b w:val="false"/>
                <w:bCs w:val="false"/>
              </w:rPr>
              <w:t xml:space="preserve">https://github.com/cristian-aguilera-ing/proyecto-ds-ypf.git</w:t>
            </w:r>
          </w:p>
        </w:tc>
      </w:tr>
    </w:tbl>
    <w:p>
      <w:pPr>
        <w:spacing w:after="200"/>
      </w:pPr>
    </w:p>
    <w:p>
      <w:pPr>
        <w:pStyle w:val="Heading1"/>
        <w:spacing w:after="150" w:before="300"/>
      </w:pPr>
      <w:r>
        <w:t xml:space="preserve">1. Objetivo y Enfoque (notebooks/04_modelado_no_supervisado_dl.ipynb)</w:t>
      </w:r>
    </w:p>
    <w:p>
      <w:pPr>
        <w:spacing w:after="160"/>
      </w:pPr>
      <w:r>
        <w:t xml:space="preserve">Se agruparon los pozos no convencionales según su comportamiento productivo, para entender si existen familias de pozos distintas entre sí y revisar si los pozos con picos de producción muy altos (la limitación del modelo supervisado de la Pre-Entrega 3) forman un grupo propio.</w:t>
      </w:r>
    </w:p>
    <w:p>
      <w:pPr>
        <w:pStyle w:val="ListParagraph"/>
        <w:numPr>
          <w:ilvl w:val="0"/>
          <w:numId w:val="1"/>
        </w:numPr>
        <w:spacing w:after="80"/>
      </w:pPr>
      <w:r>
        <w:rPr>
          <w:b/>
          <w:bCs/>
        </w:rPr>
        <w:t xml:space="preserve">Algoritmo elegido:</w:t>
      </w:r>
      <w:r>
        <w:t xml:space="preserve"> K-Means (init k-means++, n_init=10, random_state=42), sobre variables escaladas con StandardScaler. Criterio: es interpretable (el centro de cada cluster se traduce directamente en un perfil de pozo) y eficiente para unos 4.300 pozos. Su debilidad (sensibilidad a valores extremos) condicionó las correcciones de las secciones 3 y 4.</w:t>
      </w:r>
    </w:p>
    <w:p>
      <w:pPr>
        <w:pStyle w:val="ListParagraph"/>
        <w:numPr>
          <w:ilvl w:val="0"/>
          <w:numId w:val="1"/>
        </w:numPr>
        <w:spacing w:after="80"/>
      </w:pPr>
      <w:r>
        <w:rPr>
          <w:b/>
          <w:bCs/>
        </w:rPr>
        <w:t xml:space="preserve">Unidad de análisis:</w:t>
      </w:r>
      <w:r>
        <w:t xml:space="preserve"> un pozo = una fila, resumido en 4 variables: pico_prod_pet (máximo histórico), declinacion_promedio (declinación mensual típica, calculada con declinacion_pet_anterior para evitar la fuga de datos de la Pre-Entrega 3), antiguedad_total (meses de historia) y ratio_gas_pet_promedio.</w:t>
      </w:r>
    </w:p>
    <w:p>
      <w:pPr>
        <w:pStyle w:val="ListParagraph"/>
        <w:numPr>
          <w:ilvl w:val="0"/>
          <w:numId w:val="1"/>
        </w:numPr>
        <w:spacing w:after="80"/>
      </w:pPr>
      <w:r>
        <w:rPr>
          <w:b/>
          <w:bCs/>
        </w:rPr>
        <w:t xml:space="preserve">Alternativa descartada:</w:t>
      </w:r>
      <w:r>
        <w:t xml:space="preserve"> ajustar curvas de declinación tipo Arps pozo por pozo. Es más fiel físicamente, pero costosa de ajustar y de explicar en el tiempo disponible; queda como mejora futura.</w:t>
      </w:r>
    </w:p>
    <w:p>
      <w:pPr>
        <w:pStyle w:val="Heading1"/>
        <w:spacing w:after="150" w:before="300"/>
      </w:pPr>
      <w:r>
        <w:t xml:space="preserve">2. Análisis Exploratorio de las Variables por Pozo</w:t>
      </w:r>
    </w:p>
    <w:p>
      <w:pPr>
        <w:spacing w:after="160"/>
      </w:pPr>
      <w:r>
        <w:t xml:space="preserve">Antes de agrupar se examinó la distribución de las 4 variables sobre los 4.343 pozos resultantes del primer resumen (con promedios):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625"/>
        <w:gridCol w:w="1625"/>
        <w:gridCol w:w="1625"/>
        <w:gridCol w:w="1625"/>
      </w:tblGrid>
      <w:tr>
        <w:tc>
          <w:tcPr>
            <w:tcW w:type="dxa" w:w="2860"/>
            <w:shd w:fill="D9E2F3" w:val="clear"/>
          </w:tcPr>
          <w:p>
            <w:r>
              <w:rPr>
                <w:b/>
                <w:bCs/>
              </w:rPr>
              <w:t xml:space="preserve">Variable</w:t>
            </w:r>
          </w:p>
        </w:tc>
        <w:tc>
          <w:tcPr>
            <w:tcW w:type="dxa" w:w="1625"/>
            <w:shd w:fill="D9E2F3" w:val="clear"/>
          </w:tcPr>
          <w:p>
            <w:r>
              <w:rPr>
                <w:b/>
                <w:bCs/>
              </w:rPr>
              <w:t xml:space="preserve">Mediana</w:t>
            </w:r>
          </w:p>
        </w:tc>
        <w:tc>
          <w:tcPr>
            <w:tcW w:type="dxa" w:w="1625"/>
            <w:shd w:fill="D9E2F3" w:val="clear"/>
          </w:tcPr>
          <w:p>
            <w:r>
              <w:rPr>
                <w:b/>
                <w:bCs/>
              </w:rPr>
              <w:t xml:space="preserve">Percentil 90</w:t>
            </w:r>
          </w:p>
        </w:tc>
        <w:tc>
          <w:tcPr>
            <w:tcW w:type="dxa" w:w="1625"/>
            <w:shd w:fill="D9E2F3" w:val="clear"/>
          </w:tcPr>
          <w:p>
            <w:r>
              <w:rPr>
                <w:b/>
                <w:bCs/>
              </w:rPr>
              <w:t xml:space="preserve">Percentil 99</w:t>
            </w:r>
          </w:p>
        </w:tc>
        <w:tc>
          <w:tcPr>
            <w:tcW w:type="dxa" w:w="1625"/>
            <w:shd w:fill="D9E2F3" w:val="clear"/>
          </w:tcPr>
          <w:p>
            <w:r>
              <w:rPr>
                <w:b/>
                <w:bCs/>
              </w:rPr>
              <w:t xml:space="preserve">Máximo</w:t>
            </w:r>
          </w:p>
        </w:tc>
      </w:tr>
      <w:tr>
        <w:tc>
          <w:tcPr>
            <w:tcW w:type="dxa" w:w="2860"/>
          </w:tcPr>
          <w:p>
            <w:r>
              <w:rPr>
                <w:b w:val="false"/>
                <w:bCs w:val="false"/>
              </w:rPr>
              <w:t xml:space="preserve">pico_prod_pet</w:t>
            </w:r>
          </w:p>
        </w:tc>
        <w:tc>
          <w:tcPr>
            <w:tcW w:type="dxa" w:w="1625"/>
          </w:tcPr>
          <w:p>
            <w:r>
              <w:rPr>
                <w:b w:val="false"/>
                <w:bCs w:val="false"/>
              </w:rPr>
              <w:t xml:space="preserve">1.494</w:t>
            </w:r>
          </w:p>
        </w:tc>
        <w:tc>
          <w:tcPr>
            <w:tcW w:type="dxa" w:w="1625"/>
          </w:tcPr>
          <w:p>
            <w:r>
              <w:rPr>
                <w:b w:val="false"/>
                <w:bCs w:val="false"/>
              </w:rPr>
              <w:t xml:space="preserve">7.116</w:t>
            </w:r>
          </w:p>
        </w:tc>
        <w:tc>
          <w:tcPr>
            <w:tcW w:type="dxa" w:w="1625"/>
          </w:tcPr>
          <w:p>
            <w:r>
              <w:rPr>
                <w:b w:val="false"/>
                <w:bCs w:val="false"/>
              </w:rPr>
              <w:t xml:space="preserve">10.960</w:t>
            </w:r>
          </w:p>
        </w:tc>
        <w:tc>
          <w:tcPr>
            <w:tcW w:type="dxa" w:w="1625"/>
          </w:tcPr>
          <w:p>
            <w:r>
              <w:rPr>
                <w:b w:val="false"/>
                <w:bCs w:val="false"/>
              </w:rPr>
              <w:t xml:space="preserve">26.593</w:t>
            </w:r>
          </w:p>
        </w:tc>
      </w:tr>
      <w:tr>
        <w:tc>
          <w:tcPr>
            <w:tcW w:type="dxa" w:w="2860"/>
          </w:tcPr>
          <w:p>
            <w:r>
              <w:rPr>
                <w:b w:val="false"/>
                <w:bCs w:val="false"/>
              </w:rPr>
              <w:t xml:space="preserve">declinacion_promedio</w:t>
            </w:r>
          </w:p>
        </w:tc>
        <w:tc>
          <w:tcPr>
            <w:tcW w:type="dxa" w:w="1625"/>
          </w:tcPr>
          <w:p>
            <w:r>
              <w:rPr>
                <w:b w:val="false"/>
                <w:bCs w:val="false"/>
              </w:rPr>
              <w:t xml:space="preserve">0,25</w:t>
            </w:r>
          </w:p>
        </w:tc>
        <w:tc>
          <w:tcPr>
            <w:tcW w:type="dxa" w:w="1625"/>
          </w:tcPr>
          <w:p>
            <w:r>
              <w:rPr>
                <w:b w:val="false"/>
                <w:bCs w:val="false"/>
              </w:rPr>
              <w:t xml:space="preserve">4,07</w:t>
            </w:r>
          </w:p>
        </w:tc>
        <w:tc>
          <w:tcPr>
            <w:tcW w:type="dxa" w:w="1625"/>
          </w:tcPr>
          <w:p>
            <w:r>
              <w:rPr>
                <w:b w:val="false"/>
                <w:bCs w:val="false"/>
              </w:rPr>
              <w:t xml:space="preserve">210,7</w:t>
            </w:r>
          </w:p>
        </w:tc>
        <w:tc>
          <w:tcPr>
            <w:tcW w:type="dxa" w:w="1625"/>
          </w:tcPr>
          <w:p>
            <w:r>
              <w:rPr>
                <w:b w:val="false"/>
                <w:bCs w:val="false"/>
              </w:rPr>
              <w:t xml:space="preserve">839.564</w:t>
            </w:r>
          </w:p>
        </w:tc>
      </w:tr>
      <w:tr>
        <w:tc>
          <w:tcPr>
            <w:tcW w:type="dxa" w:w="2860"/>
          </w:tcPr>
          <w:p>
            <w:r>
              <w:rPr>
                <w:b w:val="false"/>
                <w:bCs w:val="false"/>
              </w:rPr>
              <w:t xml:space="preserve">antiguedad_total</w:t>
            </w:r>
          </w:p>
        </w:tc>
        <w:tc>
          <w:tcPr>
            <w:tcW w:type="dxa" w:w="1625"/>
          </w:tcPr>
          <w:p>
            <w:r>
              <w:rPr>
                <w:b w:val="false"/>
                <w:bCs w:val="false"/>
              </w:rPr>
              <w:t xml:space="preserve">79</w:t>
            </w:r>
          </w:p>
        </w:tc>
        <w:tc>
          <w:tcPr>
            <w:tcW w:type="dxa" w:w="1625"/>
          </w:tcPr>
          <w:p>
            <w:r>
              <w:rPr>
                <w:b w:val="false"/>
                <w:bCs w:val="false"/>
              </w:rPr>
              <w:t xml:space="preserve">153</w:t>
            </w:r>
          </w:p>
        </w:tc>
        <w:tc>
          <w:tcPr>
            <w:tcW w:type="dxa" w:w="1625"/>
          </w:tcPr>
          <w:p>
            <w:r>
              <w:rPr>
                <w:b w:val="false"/>
                <w:bCs w:val="false"/>
              </w:rPr>
              <w:t xml:space="preserve">247</w:t>
            </w:r>
          </w:p>
        </w:tc>
        <w:tc>
          <w:tcPr>
            <w:tcW w:type="dxa" w:w="1625"/>
          </w:tcPr>
          <w:p>
            <w:r>
              <w:rPr>
                <w:b w:val="false"/>
                <w:bCs w:val="false"/>
              </w:rPr>
              <w:t xml:space="preserve">247</w:t>
            </w:r>
          </w:p>
        </w:tc>
      </w:tr>
      <w:tr>
        <w:tc>
          <w:tcPr>
            <w:tcW w:type="dxa" w:w="2860"/>
          </w:tcPr>
          <w:p>
            <w:r>
              <w:rPr>
                <w:b w:val="false"/>
                <w:bCs w:val="false"/>
              </w:rPr>
              <w:t xml:space="preserve">ratio_gas_pet_promedio</w:t>
            </w:r>
          </w:p>
        </w:tc>
        <w:tc>
          <w:tcPr>
            <w:tcW w:type="dxa" w:w="1625"/>
          </w:tcPr>
          <w:p>
            <w:r>
              <w:rPr>
                <w:b w:val="false"/>
                <w:bCs w:val="false"/>
              </w:rPr>
              <w:t xml:space="preserve">0,79</w:t>
            </w:r>
          </w:p>
        </w:tc>
        <w:tc>
          <w:tcPr>
            <w:tcW w:type="dxa" w:w="1625"/>
          </w:tcPr>
          <w:p>
            <w:r>
              <w:rPr>
                <w:b w:val="false"/>
                <w:bCs w:val="false"/>
              </w:rPr>
              <w:t xml:space="preserve">207,6</w:t>
            </w:r>
          </w:p>
        </w:tc>
        <w:tc>
          <w:tcPr>
            <w:tcW w:type="dxa" w:w="1625"/>
          </w:tcPr>
          <w:p>
            <w:r>
              <w:rPr>
                <w:b w:val="false"/>
                <w:bCs w:val="false"/>
              </w:rPr>
              <w:t xml:space="preserve">3.670,5</w:t>
            </w:r>
          </w:p>
        </w:tc>
        <w:tc>
          <w:tcPr>
            <w:tcW w:type="dxa" w:w="1625"/>
          </w:tcPr>
          <w:p>
            <w:r>
              <w:rPr>
                <w:b w:val="false"/>
                <w:bCs w:val="false"/>
              </w:rPr>
              <w:t xml:space="preserve">1.339.944</w:t>
            </w:r>
          </w:p>
        </w:tc>
      </w:tr>
    </w:tbl>
    <w:p>
      <w:pPr>
        <w:spacing w:after="200"/>
      </w:pPr>
    </w:p>
    <w:p>
      <w:pPr>
        <w:spacing w:after="160"/>
      </w:pPr>
      <w:r>
        <w:rPr>
          <w:b/>
          <w:bCs/>
        </w:rPr>
        <w:t xml:space="preserve">Hallazgos:</w:t>
      </w:r>
      <w:r>
        <w:t xml:space="preserve"> la declinación y el ratio gas/petróleo tienen colas extremas (el máximo es miles de veces la mediana), porque son cocientes que se disparan cuando el denominador está cerca de cero. Además, 48 pozos tienen un pico menor a 1, es decir, casi no produjeron petróleo.</w:t>
      </w:r>
    </w:p>
    <w:p>
      <w:pPr>
        <w:pStyle w:val="Heading1"/>
        <w:spacing w:after="150" w:before="300"/>
      </w:pPr>
      <w:r>
        <w:t xml:space="preserve">3. Primera Versión — Resultado Engañoso (Descartado)</w:t>
      </w:r>
    </w:p>
    <w:p>
      <w:pPr>
        <w:spacing w:after="160"/>
      </w:pPr>
      <w:r>
        <w:t xml:space="preserve">Con k = 4, </w:t>
      </w:r>
      <w:r>
        <w:rPr>
          <w:b/>
          <w:bCs/>
        </w:rPr>
        <w:t xml:space="preserve">dos de los cuatro clusters tenían un solo pozo</w:t>
      </w:r>
      <w:r>
        <w:t xml:space="preserve">: el pozo 162450 (pico de 0,005 y ratio gas/petróleo de 1.339.944) y el pozo 137343 (declinación promedio de 839.563). El silhouette de 0,542 era engañoso: estaba inflado por esos dos puntos aislados, y el gráfico PCA mostraba los 4.341 pozos restantes aplastados en una línea. Los clusters 0 y 1 (2.396 y 1.945 pozos) tenían estructura, pero sus promedios estaban contaminados por los valores extremos.</w:t>
      </w:r>
    </w:p>
    <w:p>
      <w:pPr>
        <w:spacing w:after="160"/>
      </w:pPr>
      <w:r>
        <w:rPr>
          <w:b/>
          <w:bCs/>
        </w:rPr>
        <w:t xml:space="preserve">Revisión:</w:t>
      </w:r>
      <w:r>
        <w:t xml:space="preserve"> en lugar de cerrar con un k que "daba bien" en las métricas, se corrigió el origen del problema (ver sección 4).</w:t>
      </w:r>
    </w:p>
    <w:p>
      <w:pPr>
        <w:pStyle w:val="Heading1"/>
        <w:spacing w:after="150" w:before="300"/>
      </w:pPr>
      <w:r>
        <w:t xml:space="preserve">4. Mejoras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Pr>
          <w:p>
            <w:r>
              <w:rPr>
                <w:b/>
                <w:bCs/>
              </w:rPr>
              <w:t xml:space="preserve">Problema detectado</w:t>
            </w:r>
          </w:p>
        </w:tc>
        <w:tc>
          <w:tcPr>
            <w:tcW w:type="dxa" w:w="4680"/>
            <w:shd w:fill="D9E2F3" w:val="clear"/>
          </w:tcPr>
          <w:p>
            <w:r>
              <w:rPr>
                <w:b/>
                <w:bCs/>
              </w:rPr>
              <w:t xml:space="preserve">Corrección</w:t>
            </w:r>
          </w:p>
        </w:tc>
      </w:tr>
      <w:tr>
        <w:tc>
          <w:tcPr>
            <w:tcW w:type="dxa" w:w="4680"/>
          </w:tcPr>
          <w:p>
            <w:r>
              <w:rPr>
                <w:b w:val="false"/>
                <w:bCs w:val="false"/>
              </w:rPr>
              <w:t xml:space="preserve">48 pozos con pico menor a 1 generan ratios absurdos</w:t>
            </w:r>
          </w:p>
        </w:tc>
        <w:tc>
          <w:tcPr>
            <w:tcW w:type="dxa" w:w="4680"/>
          </w:tcPr>
          <w:p>
            <w:r>
              <w:rPr>
                <w:b w:val="false"/>
                <w:bCs w:val="false"/>
              </w:rPr>
              <w:t xml:space="preserve">Se filtran los pozos con pico_prod_pet menor a 1 (4.343 → 4.295 pozos)</w:t>
            </w:r>
          </w:p>
        </w:tc>
      </w:tr>
      <w:tr>
        <w:tc>
          <w:tcPr>
            <w:tcW w:type="dxa" w:w="4680"/>
          </w:tcPr>
          <w:p>
            <w:r>
              <w:rPr>
                <w:b w:val="false"/>
                <w:bCs w:val="false"/>
              </w:rPr>
              <w:t xml:space="preserve">El promedio es muy sensible a valores extremos</w:t>
            </w:r>
          </w:p>
        </w:tc>
        <w:tc>
          <w:tcPr>
            <w:tcW w:type="dxa" w:w="4680"/>
          </w:tcPr>
          <w:p>
            <w:r>
              <w:rPr>
                <w:b w:val="false"/>
                <w:bCs w:val="false"/>
              </w:rPr>
              <w:t xml:space="preserve">Se usa la mediana en declinacion_promedio y ratio_gas_pet_promedio</w:t>
            </w:r>
          </w:p>
        </w:tc>
      </w:tr>
      <w:tr>
        <w:tc>
          <w:tcPr>
            <w:tcW w:type="dxa" w:w="4680"/>
          </w:tcPr>
          <w:p>
            <w:r>
              <w:rPr>
                <w:b w:val="false"/>
                <w:bCs w:val="false"/>
              </w:rPr>
              <w:t xml:space="preserve">La declinación no tiene techo (su piso natural es -1: la producción cae a cero)</w:t>
            </w:r>
          </w:p>
        </w:tc>
        <w:tc>
          <w:tcPr>
            <w:tcW w:type="dxa" w:w="4680"/>
          </w:tcPr>
          <w:p>
            <w:r>
              <w:rPr>
                <w:b w:val="false"/>
                <w:bCs w:val="false"/>
              </w:rPr>
              <w:t xml:space="preserve">Se recorta entre -1 y el percentil 99 (≈ 4,46)</w:t>
            </w:r>
          </w:p>
        </w:tc>
      </w:tr>
      <w:tr>
        <w:tc>
          <w:tcPr>
            <w:tcW w:type="dxa" w:w="4680"/>
          </w:tcPr>
          <w:p>
            <w:r>
              <w:rPr>
                <w:b w:val="false"/>
                <w:bCs w:val="false"/>
              </w:rPr>
              <w:t xml:space="preserve">pico_prod_pet y el ratio tienen cola muy larga</w:t>
            </w:r>
          </w:p>
        </w:tc>
        <w:tc>
          <w:tcPr>
            <w:tcW w:type="dxa" w:w="4680"/>
          </w:tcPr>
          <w:p>
            <w:r>
              <w:rPr>
                <w:b w:val="false"/>
                <w:bCs w:val="false"/>
              </w:rPr>
              <w:t xml:space="preserve">Se aplica log1p a ambas</w:t>
            </w:r>
          </w:p>
        </w:tc>
      </w:tr>
      <w:tr>
        <w:tc>
          <w:tcPr>
            <w:tcW w:type="dxa" w:w="4680"/>
          </w:tcPr>
          <w:p>
            <w:r>
              <w:rPr>
                <w:b w:val="false"/>
                <w:bCs w:val="false"/>
              </w:rPr>
              <w:t xml:space="preserve">Las variables están en escalas distintas</w:t>
            </w:r>
          </w:p>
        </w:tc>
        <w:tc>
          <w:tcPr>
            <w:tcW w:type="dxa" w:w="4680"/>
          </w:tcPr>
          <w:p>
            <w:r>
              <w:rPr>
                <w:b w:val="false"/>
                <w:bCs w:val="false"/>
              </w:rPr>
              <w:t xml:space="preserve">StandardScaler (media 0, desvío 1)</w:t>
            </w:r>
          </w:p>
        </w:tc>
      </w:tr>
    </w:tbl>
    <w:p>
      <w:pPr>
        <w:spacing w:after="200"/>
      </w:pPr>
    </w:p>
    <w:p>
      <w:pPr>
        <w:spacing w:after="160"/>
      </w:pPr>
      <w:r>
        <w:rPr>
          <w:b/>
          <w:bCs/>
        </w:rPr>
        <w:t xml:space="preserve">Cobertura:</w:t>
      </w:r>
      <w:r>
        <w:t xml:space="preserve"> el dataset tiene 5.089 pozos únicos y el clustering usa 4.295. Quedaron afuera 508 pozos que nunca produjeron petróleo (gasíferos puros, con ratio gas/petróleo no definido) y pozos con muy poca historia o producción casi nula. Es una decisión de diseño: se agrupan pozos con producción real de petróleo.</w:t>
      </w:r>
    </w:p>
    <w:p>
      <w:pPr>
        <w:pStyle w:val="Heading1"/>
        <w:spacing w:after="150" w:before="300"/>
      </w:pPr>
      <w:r>
        <w:t xml:space="preserve">5. Elección de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Pr>
          <w:p>
            <w:r>
              <w:rPr>
                <w:b/>
                <w:bCs/>
              </w:rPr>
              <w:t xml:space="preserve">k</w:t>
            </w:r>
          </w:p>
        </w:tc>
        <w:tc>
          <w:tcPr>
            <w:tcW w:type="dxa" w:w="3120"/>
            <w:shd w:fill="D9E2F3" w:val="clear"/>
          </w:tcPr>
          <w:p>
            <w:r>
              <w:rPr>
                <w:b/>
                <w:bCs/>
              </w:rPr>
              <w:t xml:space="preserve">Inercia</w:t>
            </w:r>
          </w:p>
        </w:tc>
        <w:tc>
          <w:tcPr>
            <w:tcW w:type="dxa" w:w="3120"/>
            <w:shd w:fill="D9E2F3" w:val="clear"/>
          </w:tcPr>
          <w:p>
            <w:r>
              <w:rPr>
                <w:b/>
                <w:bCs/>
              </w:rPr>
              <w:t xml:space="preserve">Silhouette</w:t>
            </w:r>
          </w:p>
        </w:tc>
      </w:tr>
      <w:tr>
        <w:tc>
          <w:tcPr>
            <w:tcW w:type="dxa" w:w="3120"/>
          </w:tcPr>
          <w:p>
            <w:r>
              <w:rPr>
                <w:b w:val="false"/>
                <w:bCs w:val="false"/>
              </w:rPr>
              <w:t xml:space="preserve">2</w:t>
            </w:r>
          </w:p>
        </w:tc>
        <w:tc>
          <w:tcPr>
            <w:tcW w:type="dxa" w:w="3120"/>
          </w:tcPr>
          <w:p>
            <w:r>
              <w:rPr>
                <w:b w:val="false"/>
                <w:bCs w:val="false"/>
              </w:rPr>
              <w:t xml:space="preserve">10.340</w:t>
            </w:r>
          </w:p>
        </w:tc>
        <w:tc>
          <w:tcPr>
            <w:tcW w:type="dxa" w:w="3120"/>
          </w:tcPr>
          <w:p>
            <w:r>
              <w:rPr>
                <w:b w:val="false"/>
                <w:bCs w:val="false"/>
              </w:rPr>
              <w:t xml:space="preserve">0,440</w:t>
            </w:r>
          </w:p>
        </w:tc>
      </w:tr>
      <w:tr>
        <w:tc>
          <w:tcPr>
            <w:tcW w:type="dxa" w:w="3120"/>
          </w:tcPr>
          <w:p>
            <w:r>
              <w:rPr>
                <w:b w:val="false"/>
                <w:bCs w:val="false"/>
              </w:rPr>
              <w:t xml:space="preserve">3</w:t>
            </w:r>
          </w:p>
        </w:tc>
        <w:tc>
          <w:tcPr>
            <w:tcW w:type="dxa" w:w="3120"/>
          </w:tcPr>
          <w:p>
            <w:r>
              <w:rPr>
                <w:b w:val="false"/>
                <w:bCs w:val="false"/>
              </w:rPr>
              <w:t xml:space="preserve">6.826</w:t>
            </w:r>
          </w:p>
        </w:tc>
        <w:tc>
          <w:tcPr>
            <w:tcW w:type="dxa" w:w="3120"/>
          </w:tcPr>
          <w:p>
            <w:r>
              <w:rPr>
                <w:b w:val="false"/>
                <w:bCs w:val="false"/>
              </w:rPr>
              <w:t xml:space="preserve">0,486</w:t>
            </w:r>
          </w:p>
        </w:tc>
      </w:tr>
      <w:tr>
        <w:tc>
          <w:tcPr>
            <w:tcW w:type="dxa" w:w="3120"/>
          </w:tcPr>
          <w:p>
            <w:r>
              <w:rPr>
                <w:b/>
                <w:bCs/>
              </w:rPr>
              <w:t xml:space="preserve">4</w:t>
            </w:r>
          </w:p>
        </w:tc>
        <w:tc>
          <w:tcPr>
            <w:tcW w:type="dxa" w:w="3120"/>
          </w:tcPr>
          <w:p>
            <w:r>
              <w:rPr>
                <w:b/>
                <w:bCs/>
              </w:rPr>
              <w:t xml:space="preserve">4.417</w:t>
            </w:r>
          </w:p>
        </w:tc>
        <w:tc>
          <w:tcPr>
            <w:tcW w:type="dxa" w:w="3120"/>
          </w:tcPr>
          <w:p>
            <w:r>
              <w:rPr>
                <w:b/>
                <w:bCs/>
              </w:rPr>
              <w:t xml:space="preserve">0,473</w:t>
            </w:r>
          </w:p>
        </w:tc>
      </w:tr>
      <w:tr>
        <w:tc>
          <w:tcPr>
            <w:tcW w:type="dxa" w:w="3120"/>
          </w:tcPr>
          <w:p>
            <w:r>
              <w:rPr>
                <w:b w:val="false"/>
                <w:bCs w:val="false"/>
              </w:rPr>
              <w:t xml:space="preserve">5</w:t>
            </w:r>
          </w:p>
        </w:tc>
        <w:tc>
          <w:tcPr>
            <w:tcW w:type="dxa" w:w="3120"/>
          </w:tcPr>
          <w:p>
            <w:r>
              <w:rPr>
                <w:b w:val="false"/>
                <w:bCs w:val="false"/>
              </w:rPr>
              <w:t xml:space="preserve">3.791</w:t>
            </w:r>
          </w:p>
        </w:tc>
        <w:tc>
          <w:tcPr>
            <w:tcW w:type="dxa" w:w="3120"/>
          </w:tcPr>
          <w:p>
            <w:r>
              <w:rPr>
                <w:b w:val="false"/>
                <w:bCs w:val="false"/>
              </w:rPr>
              <w:t xml:space="preserve">0,456</w:t>
            </w:r>
          </w:p>
        </w:tc>
      </w:tr>
      <w:tr>
        <w:tc>
          <w:tcPr>
            <w:tcW w:type="dxa" w:w="3120"/>
          </w:tcPr>
          <w:p>
            <w:r>
              <w:rPr>
                <w:b w:val="false"/>
                <w:bCs w:val="false"/>
              </w:rPr>
              <w:t xml:space="preserve">6</w:t>
            </w:r>
          </w:p>
        </w:tc>
        <w:tc>
          <w:tcPr>
            <w:tcW w:type="dxa" w:w="3120"/>
          </w:tcPr>
          <w:p>
            <w:r>
              <w:rPr>
                <w:b w:val="false"/>
                <w:bCs w:val="false"/>
              </w:rPr>
              <w:t xml:space="preserve">3.245</w:t>
            </w:r>
          </w:p>
        </w:tc>
        <w:tc>
          <w:tcPr>
            <w:tcW w:type="dxa" w:w="3120"/>
          </w:tcPr>
          <w:p>
            <w:r>
              <w:rPr>
                <w:b w:val="false"/>
                <w:bCs w:val="false"/>
              </w:rPr>
              <w:t xml:space="preserve">0,457</w:t>
            </w:r>
          </w:p>
        </w:tc>
      </w:tr>
      <w:tr>
        <w:tc>
          <w:tcPr>
            <w:tcW w:type="dxa" w:w="3120"/>
          </w:tcPr>
          <w:p>
            <w:r>
              <w:rPr>
                <w:b w:val="false"/>
                <w:bCs w:val="false"/>
              </w:rPr>
              <w:t xml:space="preserve">7</w:t>
            </w:r>
          </w:p>
        </w:tc>
        <w:tc>
          <w:tcPr>
            <w:tcW w:type="dxa" w:w="3120"/>
          </w:tcPr>
          <w:p>
            <w:r>
              <w:rPr>
                <w:b w:val="false"/>
                <w:bCs w:val="false"/>
              </w:rPr>
              <w:t xml:space="preserve">2.898</w:t>
            </w:r>
          </w:p>
        </w:tc>
        <w:tc>
          <w:tcPr>
            <w:tcW w:type="dxa" w:w="3120"/>
          </w:tcPr>
          <w:p>
            <w:r>
              <w:rPr>
                <w:b w:val="false"/>
                <w:bCs w:val="false"/>
              </w:rPr>
              <w:t xml:space="preserve">0,441</w:t>
            </w:r>
          </w:p>
        </w:tc>
      </w:tr>
      <w:tr>
        <w:tc>
          <w:tcPr>
            <w:tcW w:type="dxa" w:w="3120"/>
          </w:tcPr>
          <w:p>
            <w:r>
              <w:rPr>
                <w:b w:val="false"/>
                <w:bCs w:val="false"/>
              </w:rPr>
              <w:t xml:space="preserve">8</w:t>
            </w:r>
          </w:p>
        </w:tc>
        <w:tc>
          <w:tcPr>
            <w:tcW w:type="dxa" w:w="3120"/>
          </w:tcPr>
          <w:p>
            <w:r>
              <w:rPr>
                <w:b w:val="false"/>
                <w:bCs w:val="false"/>
              </w:rPr>
              <w:t xml:space="preserve">2.617</w:t>
            </w:r>
          </w:p>
        </w:tc>
        <w:tc>
          <w:tcPr>
            <w:tcW w:type="dxa" w:w="3120"/>
          </w:tcPr>
          <w:p>
            <w:r>
              <w:rPr>
                <w:b w:val="false"/>
                <w:bCs w:val="false"/>
              </w:rPr>
              <w:t xml:space="preserve">0,450</w:t>
            </w:r>
          </w:p>
        </w:tc>
      </w:tr>
    </w:tbl>
    <w:p>
      <w:pPr>
        <w:spacing w:after="200"/>
      </w:pPr>
    </w:p>
    <w:p>
      <w:pPr>
        <w:spacing w:after="160"/>
      </w:pPr>
      <w:r>
        <w:t xml:space="preserve">El método del codo marca </w:t>
      </w:r>
      <w:r>
        <w:rPr>
          <w:b/>
          <w:bCs/>
        </w:rPr>
        <w:t xml:space="preserve">k = 4</w:t>
      </w:r>
      <w:r>
        <w:t xml:space="preserve"> (la inercia cae fuerte de 3 a 4 y después se aplana). El silhouette es máximo en k = 3 (0,486), pero la diferencia con k = 4 (0,473) es chica, por lo que se priorizó el k que separa grupos más fáciles de explicar físicamente.</w:t>
      </w:r>
    </w:p>
    <w:p>
      <w:pPr>
        <w:pStyle w:val="Heading1"/>
        <w:spacing w:after="150" w:before="300"/>
      </w:pPr>
      <w:r>
        <w:t xml:space="preserve">6. Resultados — Perfil de los Clusters</w:t>
      </w:r>
    </w:p>
    <w:p>
      <w:pPr>
        <w:spacing w:after="160"/>
      </w:pPr>
      <w:r>
        <w:t xml:space="preserve">Valores típicos (mediana) con las variables originales, sin logaritmo ni recorte: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000"/>
        <w:gridCol w:w="1600"/>
        <w:gridCol w:w="1700"/>
        <w:gridCol w:w="1300"/>
      </w:tblGrid>
      <w:tr>
        <w:tc>
          <w:tcPr>
            <w:tcW w:type="dxa" w:w="3760"/>
            <w:shd w:fill="D9E2F3" w:val="clear"/>
          </w:tcPr>
          <w:p>
            <w:r>
              <w:rPr>
                <w:b/>
                <w:bCs/>
              </w:rPr>
              <w:t xml:space="preserve">Interpretación</w:t>
            </w:r>
          </w:p>
        </w:tc>
        <w:tc>
          <w:tcPr>
            <w:tcW w:type="dxa" w:w="1000"/>
            <w:shd w:fill="D9E2F3" w:val="clear"/>
          </w:tcPr>
          <w:p>
            <w:r>
              <w:rPr>
                <w:b/>
                <w:bCs/>
              </w:rPr>
              <w:t xml:space="preserve">Pozos</w:t>
            </w:r>
          </w:p>
        </w:tc>
        <w:tc>
          <w:tcPr>
            <w:tcW w:type="dxa" w:w="1600"/>
            <w:shd w:fill="D9E2F3" w:val="clear"/>
          </w:tcPr>
          <w:p>
            <w:r>
              <w:rPr>
                <w:b/>
                <w:bCs/>
              </w:rPr>
              <w:t xml:space="preserve">Pico prod_pet</w:t>
            </w:r>
          </w:p>
        </w:tc>
        <w:tc>
          <w:tcPr>
            <w:tcW w:type="dxa" w:w="1700"/>
            <w:shd w:fill="D9E2F3" w:val="clear"/>
          </w:tcPr>
          <w:p>
            <w:r>
              <w:rPr>
                <w:b/>
                <w:bCs/>
              </w:rPr>
              <w:t xml:space="preserve">Antigüedad (meses)</w:t>
            </w:r>
          </w:p>
        </w:tc>
        <w:tc>
          <w:tcPr>
            <w:tcW w:type="dxa" w:w="1300"/>
            <w:shd w:fill="D9E2F3" w:val="clear"/>
          </w:tcPr>
          <w:p>
            <w:r>
              <w:rPr>
                <w:b/>
                <w:bCs/>
              </w:rPr>
              <w:t xml:space="preserve">Ratio gas/pet</w:t>
            </w:r>
          </w:p>
        </w:tc>
      </w:tr>
      <w:tr>
        <w:tc>
          <w:tcPr>
            <w:tcW w:type="dxa" w:w="3760"/>
          </w:tcPr>
          <w:p>
            <w:r>
              <w:rPr>
                <w:b/>
                <w:bCs/>
              </w:rPr>
              <w:t xml:space="preserve">Modernos de alta producción de petróleo</w:t>
            </w:r>
            <w:r>
              <w:rPr>
                <w:b w:val="false"/>
                <w:bCs w:val="false"/>
              </w:rPr>
              <w:t xml:space="preserve"> (tipo Vaca Muerta)</w:t>
            </w:r>
          </w:p>
        </w:tc>
        <w:tc>
          <w:tcPr>
            <w:tcW w:type="dxa" w:w="1000"/>
          </w:tcPr>
          <w:p>
            <w:r>
              <w:rPr>
                <w:b w:val="false"/>
                <w:bCs w:val="false"/>
              </w:rPr>
              <w:t xml:space="preserve">2.009</w:t>
            </w:r>
          </w:p>
        </w:tc>
        <w:tc>
          <w:tcPr>
            <w:tcW w:type="dxa" w:w="1600"/>
          </w:tcPr>
          <w:p>
            <w:r>
              <w:rPr>
                <w:b w:val="false"/>
                <w:bCs w:val="false"/>
              </w:rPr>
              <w:t xml:space="preserve">5.273</w:t>
            </w:r>
          </w:p>
        </w:tc>
        <w:tc>
          <w:tcPr>
            <w:tcW w:type="dxa" w:w="1700"/>
          </w:tcPr>
          <w:p>
            <w:r>
              <w:rPr>
                <w:b w:val="false"/>
                <w:bCs w:val="false"/>
              </w:rPr>
              <w:t xml:space="preserve">33</w:t>
            </w:r>
          </w:p>
        </w:tc>
        <w:tc>
          <w:tcPr>
            <w:tcW w:type="dxa" w:w="1300"/>
          </w:tcPr>
          <w:p>
            <w:r>
              <w:rPr>
                <w:b w:val="false"/>
                <w:bCs w:val="false"/>
              </w:rPr>
              <w:t xml:space="preserve">0,14</w:t>
            </w:r>
          </w:p>
        </w:tc>
      </w:tr>
      <w:tr>
        <w:tc>
          <w:tcPr>
            <w:tcW w:type="dxa" w:w="3760"/>
          </w:tcPr>
          <w:p>
            <w:r>
              <w:rPr>
                <w:b/>
                <w:bCs/>
              </w:rPr>
              <w:t xml:space="preserve">Viejos de producción media</w:t>
            </w:r>
          </w:p>
        </w:tc>
        <w:tc>
          <w:tcPr>
            <w:tcW w:type="dxa" w:w="1000"/>
          </w:tcPr>
          <w:p>
            <w:r>
              <w:rPr>
                <w:b w:val="false"/>
                <w:bCs w:val="false"/>
              </w:rPr>
              <w:t xml:space="preserve">1.123</w:t>
            </w:r>
          </w:p>
        </w:tc>
        <w:tc>
          <w:tcPr>
            <w:tcW w:type="dxa" w:w="1600"/>
          </w:tcPr>
          <w:p>
            <w:r>
              <w:rPr>
                <w:b w:val="false"/>
                <w:bCs w:val="false"/>
              </w:rPr>
              <w:t xml:space="preserve">809</w:t>
            </w:r>
          </w:p>
        </w:tc>
        <w:tc>
          <w:tcPr>
            <w:tcW w:type="dxa" w:w="1700"/>
          </w:tcPr>
          <w:p>
            <w:r>
              <w:rPr>
                <w:b w:val="false"/>
                <w:bCs w:val="false"/>
              </w:rPr>
              <w:t xml:space="preserve">138</w:t>
            </w:r>
          </w:p>
        </w:tc>
        <w:tc>
          <w:tcPr>
            <w:tcW w:type="dxa" w:w="1300"/>
          </w:tcPr>
          <w:p>
            <w:r>
              <w:rPr>
                <w:b w:val="false"/>
                <w:bCs w:val="false"/>
              </w:rPr>
              <w:t xml:space="preserve">0,98</w:t>
            </w:r>
          </w:p>
        </w:tc>
      </w:tr>
      <w:tr>
        <w:tc>
          <w:tcPr>
            <w:tcW w:type="dxa" w:w="3760"/>
          </w:tcPr>
          <w:p>
            <w:r>
              <w:rPr>
                <w:b/>
                <w:bCs/>
              </w:rPr>
              <w:t xml:space="preserve">Viejos con mucho gas y casi nada de petróleo</w:t>
            </w:r>
          </w:p>
        </w:tc>
        <w:tc>
          <w:tcPr>
            <w:tcW w:type="dxa" w:w="1000"/>
          </w:tcPr>
          <w:p>
            <w:r>
              <w:rPr>
                <w:b w:val="false"/>
                <w:bCs w:val="false"/>
              </w:rPr>
              <w:t xml:space="preserve">1.088</w:t>
            </w:r>
          </w:p>
        </w:tc>
        <w:tc>
          <w:tcPr>
            <w:tcW w:type="dxa" w:w="1600"/>
          </w:tcPr>
          <w:p>
            <w:r>
              <w:rPr>
                <w:b w:val="false"/>
                <w:bCs w:val="false"/>
              </w:rPr>
              <w:t xml:space="preserve">53</w:t>
            </w:r>
          </w:p>
        </w:tc>
        <w:tc>
          <w:tcPr>
            <w:tcW w:type="dxa" w:w="1700"/>
          </w:tcPr>
          <w:p>
            <w:r>
              <w:rPr>
                <w:b w:val="false"/>
                <w:bCs w:val="false"/>
              </w:rPr>
              <w:t xml:space="preserve">105</w:t>
            </w:r>
          </w:p>
        </w:tc>
        <w:tc>
          <w:tcPr>
            <w:tcW w:type="dxa" w:w="1300"/>
          </w:tcPr>
          <w:p>
            <w:r>
              <w:rPr>
                <w:b w:val="false"/>
                <w:bCs w:val="false"/>
              </w:rPr>
              <w:t xml:space="preserve">55,0</w:t>
            </w:r>
          </w:p>
        </w:tc>
      </w:tr>
      <w:tr>
        <w:tc>
          <w:tcPr>
            <w:tcW w:type="dxa" w:w="3760"/>
          </w:tcPr>
          <w:p>
            <w:r>
              <w:rPr>
                <w:b/>
                <w:bCs/>
              </w:rPr>
              <w:t xml:space="preserve">Recién puestos en producción</w:t>
            </w:r>
            <w:r>
              <w:rPr>
                <w:b w:val="false"/>
                <w:bCs w:val="false"/>
              </w:rPr>
              <w:t xml:space="preserve"> (3 a 5 meses de historia, ya pasado su pico inicial)</w:t>
            </w:r>
          </w:p>
        </w:tc>
        <w:tc>
          <w:tcPr>
            <w:tcW w:type="dxa" w:w="1000"/>
          </w:tcPr>
          <w:p>
            <w:r>
              <w:rPr>
                <w:b w:val="false"/>
                <w:bCs w:val="false"/>
              </w:rPr>
              <w:t xml:space="preserve">75</w:t>
            </w:r>
          </w:p>
        </w:tc>
        <w:tc>
          <w:tcPr>
            <w:tcW w:type="dxa" w:w="1600"/>
          </w:tcPr>
          <w:p>
            <w:r>
              <w:rPr>
                <w:b w:val="false"/>
                <w:bCs w:val="false"/>
              </w:rPr>
              <w:t xml:space="preserve">6.053</w:t>
            </w:r>
          </w:p>
        </w:tc>
        <w:tc>
          <w:tcPr>
            <w:tcW w:type="dxa" w:w="1700"/>
          </w:tcPr>
          <w:p>
            <w:r>
              <w:rPr>
                <w:b w:val="false"/>
                <w:bCs w:val="false"/>
              </w:rPr>
              <w:t xml:space="preserve">3</w:t>
            </w:r>
          </w:p>
        </w:tc>
        <w:tc>
          <w:tcPr>
            <w:tcW w:type="dxa" w:w="1300"/>
          </w:tcPr>
          <w:p>
            <w:r>
              <w:rPr>
                <w:b w:val="false"/>
                <w:bCs w:val="false"/>
              </w:rPr>
              <w:t xml:space="preserve">0,20</w:t>
            </w:r>
          </w:p>
        </w:tc>
      </w:tr>
    </w:tbl>
    <w:p>
      <w:pPr>
        <w:spacing w:after="200"/>
      </w:pPr>
    </w:p>
    <w:p>
      <w:pPr>
        <w:spacing w:after="160"/>
      </w:pPr>
      <w:r>
        <w:t xml:space="preserve">La declinación típica es casi igual en los tres clusters grandes (entre -0,02 y -0,04), por lo que aporta poco para separarlos; los diferencian el pico, la antigüedad y el ratio. El cluster de pozos recién puestos en producción se distingue por esa variable porque, con tan poca historia, su "declinación" es en realidad el crecimiento de arranque.</w:t>
      </w:r>
    </w:p>
    <w:p>
      <w:pPr>
        <w:pStyle w:val="Heading1"/>
        <w:spacing w:after="150" w:before="300"/>
      </w:pPr>
      <w:r>
        <w:t xml:space="preserve">7. Validación Visual</w:t>
      </w:r>
    </w:p>
    <w:p>
      <w:pPr>
        <w:pStyle w:val="ListParagraph"/>
        <w:numPr>
          <w:ilvl w:val="0"/>
          <w:numId w:val="1"/>
        </w:numPr>
        <w:spacing w:after="80"/>
      </w:pPr>
      <w:r>
        <w:rPr>
          <w:b/>
          <w:bCs/>
        </w:rPr>
        <w:t xml:space="preserve">PCA en 2D:</w:t>
      </w:r>
      <w:r>
        <w:t xml:space="preserve"> los dos componentes explican ≈ 79% de la información. Tres clusters forman un continuo (de pozos chicos y gasíferos a pozos grandes y modernos) que K-Means corta en tramos, con solapamiento en los bordes; el cluster de pozos recién puestos en producción se separa claramente. El clustering segmenta una gradación de pozos, no descubre grupos totalmente aislados.</w:t>
      </w:r>
    </w:p>
    <w:p>
      <w:pPr>
        <w:pStyle w:val="ListParagraph"/>
        <w:numPr>
          <w:ilvl w:val="0"/>
          <w:numId w:val="1"/>
        </w:numPr>
        <w:spacing w:after="80"/>
      </w:pPr>
      <w:r>
        <w:rPr>
          <w:b/>
          <w:bCs/>
        </w:rPr>
        <w:t xml:space="preserve">Curvas representativas</w:t>
      </w:r>
      <w:r>
        <w:t xml:space="preserve"> (pozo más cercano al centro de cada cluster): tienen sentido físico. El cluster de pozos viejos con gas es una línea casi chata en ~50; el de producción media muestra un pico chico y declinación lenta durante unos 140 meses; el de pozos modernos llega a ~4.400 y baja de forma sostenida; el de pozos nuevos sube hasta ~6.400 en el mes 3 y empieza a bajar.</w:t>
      </w:r>
    </w:p>
    <w:p>
      <w:pPr>
        <w:pStyle w:val="Heading1"/>
        <w:spacing w:after="150" w:before="300"/>
      </w:pPr>
      <w:r>
        <w:t xml:space="preserve">8. Cruce con la Limitación del Modelo Supervisado</w:t>
      </w:r>
    </w:p>
    <w:p>
      <w:pPr>
        <w:spacing w:after="160"/>
      </w:pPr>
      <w:r>
        <w:t xml:space="preserve">De los </w:t>
      </w:r>
      <w:r>
        <w:rPr>
          <w:b/>
          <w:bCs/>
        </w:rPr>
        <w:t xml:space="preserve">94 pozos con pico mayor a 10.000</w:t>
      </w:r>
      <w:r>
        <w:t xml:space="preserve">, 88 caen en el cluster de pozos modernos de alta producción y 6 en el de pozos recién puestos en producción. Es coherente con que son los pozos más productivos, pero no revela un subgrupo distinto: el clustering </w:t>
      </w:r>
      <w:r>
        <w:rPr>
          <w:b/>
          <w:bCs/>
        </w:rPr>
        <w:t xml:space="preserve">no confirma ni descarta</w:t>
      </w:r>
      <w:r>
        <w:t xml:space="preserve"> la hipótesis de reestimulación como causa de la subestimación del modelo supervisado.</w:t>
      </w:r>
    </w:p>
    <w:p>
      <w:pPr>
        <w:pStyle w:val="Heading1"/>
        <w:spacing w:after="150" w:before="300"/>
      </w:pPr>
      <w:r>
        <w:t xml:space="preserve">9. Decisiones Tomadas y Criterio Aplicado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c>
          <w:tcPr>
            <w:tcW w:type="dxa" w:w="3680"/>
            <w:shd w:fill="D9E2F3" w:val="clear"/>
          </w:tcPr>
          <w:p>
            <w:r>
              <w:rPr>
                <w:b/>
                <w:bCs/>
              </w:rPr>
              <w:t xml:space="preserve">Decisión</w:t>
            </w:r>
          </w:p>
        </w:tc>
        <w:tc>
          <w:tcPr>
            <w:tcW w:type="dxa" w:w="5680"/>
            <w:shd w:fill="D9E2F3" w:val="clear"/>
          </w:tcPr>
          <w:p>
            <w:r>
              <w:rPr>
                <w:b/>
                <w:bCs/>
              </w:rPr>
              <w:t xml:space="preserve">Criterio</w:t>
            </w:r>
          </w:p>
        </w:tc>
      </w:tr>
      <w:tr>
        <w:tc>
          <w:tcPr>
            <w:tcW w:type="dxa" w:w="3680"/>
          </w:tcPr>
          <w:p>
            <w:r>
              <w:rPr>
                <w:b w:val="false"/>
                <w:bCs w:val="false"/>
              </w:rPr>
              <w:t xml:space="preserve">Resumir cada pozo en 4 variables</w:t>
            </w:r>
          </w:p>
        </w:tc>
        <w:tc>
          <w:tcPr>
            <w:tcW w:type="dxa" w:w="5680"/>
          </w:tcPr>
          <w:p>
            <w:r>
              <w:rPr>
                <w:b w:val="false"/>
                <w:bCs w:val="false"/>
              </w:rPr>
              <w:t xml:space="preserve">Mantener coherencia con las features del modelo supervisado y poder explicar cada variable</w:t>
            </w:r>
          </w:p>
        </w:tc>
      </w:tr>
      <w:tr>
        <w:tc>
          <w:tcPr>
            <w:tcW w:type="dxa" w:w="3680"/>
          </w:tcPr>
          <w:p>
            <w:r>
              <w:rPr>
                <w:b w:val="false"/>
                <w:bCs w:val="false"/>
              </w:rPr>
              <w:t xml:space="preserve">Mediana en lugar de promedio</w:t>
            </w:r>
          </w:p>
        </w:tc>
        <w:tc>
          <w:tcPr>
            <w:tcW w:type="dxa" w:w="5680"/>
          </w:tcPr>
          <w:p>
            <w:r>
              <w:rPr>
                <w:b w:val="false"/>
                <w:bCs w:val="false"/>
              </w:rPr>
              <w:t xml:space="preserve">Robustez frente a cocientes que se disparan con denominadores cercanos a cero</w:t>
            </w:r>
          </w:p>
        </w:tc>
      </w:tr>
      <w:tr>
        <w:tc>
          <w:tcPr>
            <w:tcW w:type="dxa" w:w="3680"/>
          </w:tcPr>
          <w:p>
            <w:r>
              <w:rPr>
                <w:b w:val="false"/>
                <w:bCs w:val="false"/>
              </w:rPr>
              <w:t xml:space="preserve">Filtrar pozos con pico menor a 1</w:t>
            </w:r>
          </w:p>
        </w:tc>
        <w:tc>
          <w:tcPr>
            <w:tcW w:type="dxa" w:w="5680"/>
          </w:tcPr>
          <w:p>
            <w:r>
              <w:rPr>
                <w:b w:val="false"/>
                <w:bCs w:val="false"/>
              </w:rPr>
              <w:t xml:space="preserve">El ratio gas/petróleo no tiene sentido sin producción de petróleo</w:t>
            </w:r>
          </w:p>
        </w:tc>
      </w:tr>
      <w:tr>
        <w:tc>
          <w:tcPr>
            <w:tcW w:type="dxa" w:w="3680"/>
          </w:tcPr>
          <w:p>
            <w:r>
              <w:rPr>
                <w:b w:val="false"/>
                <w:bCs w:val="false"/>
              </w:rPr>
              <w:t xml:space="preserve">Recortar la declinación entre -1 y el percentil 99</w:t>
            </w:r>
          </w:p>
        </w:tc>
        <w:tc>
          <w:tcPr>
            <w:tcW w:type="dxa" w:w="5680"/>
          </w:tcPr>
          <w:p>
            <w:r>
              <w:rPr>
                <w:b w:val="false"/>
                <w:bCs w:val="false"/>
              </w:rPr>
              <w:t xml:space="preserve">Respetar su piso natural y evitar que pocos casos dominen la distancia</w:t>
            </w:r>
          </w:p>
        </w:tc>
      </w:tr>
      <w:tr>
        <w:tc>
          <w:tcPr>
            <w:tcW w:type="dxa" w:w="3680"/>
          </w:tcPr>
          <w:p>
            <w:r>
              <w:rPr>
                <w:b w:val="false"/>
                <w:bCs w:val="false"/>
              </w:rPr>
              <w:t xml:space="preserve">Elegir k = 4 y no k = 3</w:t>
            </w:r>
          </w:p>
        </w:tc>
        <w:tc>
          <w:tcPr>
            <w:tcW w:type="dxa" w:w="5680"/>
          </w:tcPr>
          <w:p>
            <w:r>
              <w:rPr>
                <w:b w:val="false"/>
                <w:bCs w:val="false"/>
              </w:rPr>
              <w:t xml:space="preserve">Diferencia de silhouette menor a 0,02; se prioriza interpretabilidad para la defensa</w:t>
            </w:r>
          </w:p>
        </w:tc>
      </w:tr>
      <w:tr>
        <w:tc>
          <w:tcPr>
            <w:tcW w:type="dxa" w:w="3680"/>
          </w:tcPr>
          <w:p>
            <w:r>
              <w:rPr>
                <w:b w:val="false"/>
                <w:bCs w:val="false"/>
              </w:rPr>
              <w:t xml:space="preserve">Descartar Arps</w:t>
            </w:r>
          </w:p>
        </w:tc>
        <w:tc>
          <w:tcPr>
            <w:tcW w:type="dxa" w:w="5680"/>
          </w:tcPr>
          <w:p>
            <w:r>
              <w:rPr>
                <w:b w:val="false"/>
                <w:bCs w:val="false"/>
              </w:rPr>
              <w:t xml:space="preserve">Costo de ajuste y explicación superior al tiempo disponible</w:t>
            </w:r>
          </w:p>
        </w:tc>
      </w:tr>
    </w:tbl>
    <w:p>
      <w:pPr>
        <w:spacing w:after="200"/>
      </w:pPr>
    </w:p>
    <w:p>
      <w:pPr>
        <w:pStyle w:val="Heading1"/>
        <w:spacing w:after="150" w:before="300"/>
      </w:pPr>
      <w:r>
        <w:t xml:space="preserve">10. Limitaciones</w:t>
      </w:r>
    </w:p>
    <w:p>
      <w:pPr>
        <w:pStyle w:val="ListParagraph"/>
        <w:numPr>
          <w:ilvl w:val="0"/>
          <w:numId w:val="1"/>
        </w:numPr>
        <w:spacing w:after="80"/>
      </w:pPr>
      <w:r>
        <w:t xml:space="preserve">El silhouette (≈ 0,47) indica una estructura moderada: hay grupos reales, pero se solapan en parte.</w:t>
      </w:r>
    </w:p>
    <w:p>
      <w:pPr>
        <w:pStyle w:val="ListParagraph"/>
        <w:numPr>
          <w:ilvl w:val="0"/>
          <w:numId w:val="1"/>
        </w:numPr>
        <w:spacing w:after="80"/>
      </w:pPr>
      <w:r>
        <w:t xml:space="preserve">declinacion_promedio casi no separa los clusters grandes. Una mejora futura sería ajustar curvas de Arps por pozo.</w:t>
      </w:r>
    </w:p>
    <w:p>
      <w:pPr>
        <w:pStyle w:val="ListParagraph"/>
        <w:numPr>
          <w:ilvl w:val="0"/>
          <w:numId w:val="1"/>
        </w:numPr>
        <w:spacing w:after="80"/>
      </w:pPr>
      <w:r>
        <w:t xml:space="preserve">Los pozos gasíferos puros y los de muy poca historia quedan fuera del análisis.</w:t>
      </w:r>
    </w:p>
    <w:p>
      <w:pPr>
        <w:pStyle w:val="Heading1"/>
        <w:spacing w:after="150" w:before="300"/>
      </w:pPr>
      <w:r>
        <w:t xml:space="preserve">11. Archivos Generados</w:t>
      </w:r>
    </w:p>
    <w:p>
      <w:pPr>
        <w:pStyle w:val="ListParagraph"/>
        <w:numPr>
          <w:ilvl w:val="0"/>
          <w:numId w:val="1"/>
        </w:numPr>
        <w:spacing w:after="80"/>
      </w:pPr>
      <w:r>
        <w:t xml:space="preserve">data/processed/pozos_con_cluster.csv: pozos con su cluster y valores originales.</w:t>
      </w:r>
    </w:p>
    <w:p>
      <w:pPr>
        <w:pStyle w:val="ListParagraph"/>
        <w:numPr>
          <w:ilvl w:val="0"/>
          <w:numId w:val="1"/>
        </w:numPr>
        <w:spacing w:after="80"/>
      </w:pPr>
      <w:r>
        <w:t xml:space="preserve">models/modelo_clustering_kmeans.joblib y models/scaler_clustering.joblib: modelo y scaler entrenados.</w:t>
      </w:r>
    </w:p>
    <w:p>
      <w:pPr>
        <w:pStyle w:val="ListParagraph"/>
        <w:numPr>
          <w:ilvl w:val="0"/>
          <w:numId w:val="1"/>
        </w:numPr>
        <w:spacing w:after="80"/>
      </w:pPr>
      <w:r>
        <w:t xml:space="preserve">models/tope_declinacion_clustering.joblib: tope del recorte de declinación, necesario para asignar un cluster a un pozo nuevo (recorte, logaritmo y escalado, en ese orden).</w:t>
      </w:r>
    </w:p>
    <w:p>
      <w:pPr>
        <w:pStyle w:val="Heading1"/>
        <w:spacing w:after="150" w:before="300"/>
      </w:pPr>
      <w:r>
        <w:t xml:space="preserve">12. Próximos Pasos</w:t>
      </w:r>
    </w:p>
    <w:p>
      <w:pPr>
        <w:pStyle w:val="ListParagraph"/>
        <w:numPr>
          <w:ilvl w:val="0"/>
          <w:numId w:val="1"/>
        </w:numPr>
        <w:spacing w:after="80"/>
      </w:pPr>
      <w:r>
        <w:t xml:space="preserve">Explicabilidad (SHAP) sobre el modelo LightGBM final.</w:t>
      </w:r>
    </w:p>
    <w:p>
      <w:pPr>
        <w:pStyle w:val="ListParagraph"/>
        <w:numPr>
          <w:ilvl w:val="0"/>
          <w:numId w:val="1"/>
        </w:numPr>
        <w:spacing w:after="80"/>
      </w:pPr>
      <w:r>
        <w:t xml:space="preserve">Optimización de hiperparámetros del modelo supervisado (Optuna) con validación temporal.</w:t>
      </w:r>
    </w:p>
    <w:p>
      <w:pPr>
        <w:pStyle w:val="ListParagraph"/>
        <w:numPr>
          <w:ilvl w:val="0"/>
          <w:numId w:val="1"/>
        </w:numPr>
        <w:spacing w:after="80"/>
      </w:pPr>
      <w:r>
        <w:t xml:space="preserve">Entrega Final: src/train.py, src/predict.py, API en FastAPI, Dockerfile y documentación completa en README.md.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2026-09-14T21:02:50.165Z</dcterms:created>
  <dcterms:modified xsi:type="dcterms:W3CDTF">2026-09-14T21:02:50.176Z</dcterms:modified>
</cp:coreProperties>
</file>

<file path=docProps/custom.xml><?xml version="1.0" encoding="utf-8"?>
<Properties xmlns="http://schemas.openxmlformats.org/officeDocument/2006/custom-properties" xmlns:vt="http://schemas.openxmlformats.org/officeDocument/2006/docPropsVTypes"/>
</file>