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Pre-Entrega 2 — Análisis Exploratorio y Limpieza de Datos</w:t>
      </w:r>
    </w:p>
    <w:p>
      <w:pPr>
        <w:spacing w:after="300"/>
        <w:jc w:val="center"/>
      </w:pPr>
      <w:r>
        <w:rPr>
          <w:i/>
          <w:iCs/>
        </w:rPr>
        <w:t xml:space="preserve">Proyecto Final Integrador — Data Science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  <w:bCs/>
              </w:rPr>
              <w:t xml:space="preserve">Alumnos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</w:rPr>
              <w:t xml:space="preserve">Cristian Alejandro Aguilera, Abigail Roxana Vicentelo, Ian Lionel Tapias Díaz</w:t>
            </w:r>
          </w:p>
        </w:tc>
      </w:tr>
      <w:tr>
        <w:tc>
          <w:tcPr>
            <w:tcW w:type="dxa" w:w="3120"/>
            <w:shd w:fill="D9E2F3" w:val="clear"/>
          </w:tcPr>
          <w:p>
            <w:r>
              <w:rPr>
                <w:b/>
                <w:bCs/>
              </w:rPr>
              <w:t xml:space="preserve">Programa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</w:rPr>
              <w:t xml:space="preserve">Data Science 2026 (Fundación YPF - Jump)</w:t>
            </w:r>
          </w:p>
        </w:tc>
      </w:tr>
      <w:tr>
        <w:tc>
          <w:tcPr>
            <w:tcW w:type="dxa" w:w="3120"/>
            <w:shd w:fill="D9E2F3" w:val="clear"/>
          </w:tcPr>
          <w:p>
            <w:r>
              <w:rPr>
                <w:b/>
                <w:bCs/>
              </w:rPr>
              <w:t xml:space="preserve">Repositorio GitHub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</w:rPr>
              <w:t xml:space="preserve">https://github.com/cristian-aguilera-ing/proyecto-ds-ypf.git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1. Introducción</w:t>
      </w:r>
    </w:p>
    <w:p>
      <w:pPr>
        <w:spacing w:after="160"/>
      </w:pPr>
      <w:r>
        <w:t xml:space="preserve">Esta entrega documenta el trabajo realizado sobre el dataset seleccionado en la Pre-Entrega 1 ("Producción de Pozos de Gas y Petróleo No Convencional", Secretaría de Energía de la Nación — 421.046 filas, 2006-2026): la construcción del módulo de ingesta de datos, el Análisis Exploratorio de Datos (EDA) y el pipeline de limpieza.</w:t>
      </w:r>
    </w:p>
    <w:p>
      <w:pPr>
        <w:pStyle w:val="Heading1"/>
        <w:spacing w:after="150" w:before="300"/>
      </w:pPr>
      <w:r>
        <w:t xml:space="preserve">2. Ingesta y Validación de Datos (src/data_loader.py)</w:t>
      </w:r>
    </w:p>
    <w:p>
      <w:pPr>
        <w:spacing w:after="160"/>
      </w:pPr>
      <w:r>
        <w:t xml:space="preserve">Se construyó un módulo dedicado exclusivamente a cargar el dataset crudo desde data/raw/ y mostrar un diagnóstico inicial de calidad (nulos por columna, duplicados pozo-año-mes, rango de valores de profundidad, producción negativa), sin aplicar ninguna corrección en esta etapa.</w:t>
      </w:r>
    </w:p>
    <w:p>
      <w:pPr>
        <w:spacing w:after="160"/>
      </w:pPr>
      <w:r>
        <w:rPr>
          <w:b/>
          <w:bCs/>
        </w:rPr>
        <w:t xml:space="preserve">Mejora incorporada: </w:t>
      </w:r>
      <w:r>
        <w:t xml:space="preserve">se especificaron tipos de dato en la lectura del CSV (parse_dates para columnas de fecha, dtype category para variables con pocos valores repetidos) para optimizar memoria y evitar errores de parseo, además de encoding='utf-8-sig' para prevenir problemas de codificación de caracteres.</w:t>
      </w:r>
    </w:p>
    <w:p>
      <w:pPr>
        <w:pStyle w:val="Heading1"/>
        <w:spacing w:after="150" w:before="300"/>
      </w:pPr>
      <w:r>
        <w:t xml:space="preserve">3. Análisis Exploratorio de Datos (notebooks/01_eda_limpieza.ipynb)</w:t>
      </w:r>
    </w:p>
    <w:p>
      <w:pPr>
        <w:pStyle w:val="Heading2"/>
        <w:spacing w:after="120" w:before="250"/>
      </w:pPr>
      <w:r>
        <w:t xml:space="preserve">3.1 Metodología</w:t>
      </w:r>
    </w:p>
    <w:p>
      <w:pPr>
        <w:spacing w:after="160"/>
      </w:pPr>
      <w:r>
        <w:t xml:space="preserve">Se visualizaron las anomalías detectadas por el diagnóstico inicial antes de decidir cómo tratarlas: distribución de nulos por columna, histogramas de profundidad (completo y con zoom al rango plausible), tabla de casos extremos, histogramas y detalle de producción negativa, boxplots de las variables clave, y serie temporal de producción agregada.</w:t>
      </w:r>
    </w:p>
    <w:p>
      <w:pPr>
        <w:pStyle w:val="Heading2"/>
        <w:spacing w:after="120" w:before="250"/>
      </w:pPr>
      <w:r>
        <w:t xml:space="preserve">3.2 Hallazgos principales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Profundidad fuera de rango (&gt;10.000, máximo 378.939): los 122 registros sospechosos correspondían a un único pozo (idpozo 156804, formación "lajas") con un valor mal cargado repetido en todos sus registros mensuales — un error puntual de carga, no ruido disperso.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Profundidad = 0: 5.738 filas correspondientes a 164 pozos distintos sin ese dato cargado — tratado como faltante genuino.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Producción (prod_pet, prod_gas): distribución fuertemente sesgada a la derecha, comportamiento esperado en datos de producción de hidrocarburos.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Producción negativa: 3 filas en total (1 en prod_pet, 2 en prod_gas), de magnitud chica, consistentes con correcciones cargadas con signo.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Serie temporal: crecimiento exponencial 2006-2025 propio del boom de Vaca Muerta, con una caída artificial en 2026 explicada por el año incompleto en el dataset (no una caída real de producción).</w:t>
      </w:r>
    </w:p>
    <w:p>
      <w:pPr>
        <w:pStyle w:val="Heading1"/>
        <w:spacing w:after="150" w:before="300"/>
      </w:pPr>
      <w:r>
        <w:t xml:space="preserve">4. Limpieza de Datos (src/preprocessor.py)</w:t>
      </w:r>
    </w:p>
    <w:p>
      <w:pPr>
        <w:pStyle w:val="Heading2"/>
        <w:spacing w:after="120" w:before="250"/>
      </w:pPr>
      <w:r>
        <w:t xml:space="preserve">4.1 Reglas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Función</w:t>
            </w:r>
          </w:p>
        </w:tc>
        <w:tc>
          <w:tcPr>
            <w:tcW w:type="dxa" w:w="6360"/>
            <w:shd w:fill="D9E2F3" w:val="clear"/>
          </w:tcPr>
          <w:p>
            <w:r>
              <w:rPr>
                <w:b/>
                <w:bCs/>
              </w:rPr>
              <w:t xml:space="preserve">Regla aplicada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descartar_columnas_vacias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</w:rPr>
              <w:t xml:space="preserve">Elimina vida_util y observaciones (&gt;90% nulos)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imputar_categoricas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</w:rPr>
              <w:t xml:space="preserve">Imputa con la moda las columnas categóricas con nulos mínimos (&lt;0.25%)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corregir_profundidad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</w:rPr>
              <w:t xml:space="preserve">Valores fuera de 100-10.000 se tratan como faltantes y se imputan con la mediana por formación geológica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corregir_produccion_negativa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</w:rPr>
              <w:t xml:space="preserve">Clipea a 0 los valores negativos de prod_pet y prod_gas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marcar_anio_incompleto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</w:rPr>
              <w:t xml:space="preserve">Agrega columna anio_completo para excluir 2026 de análisis de tendencia sin perder esas filas para el modelado</w:t>
            </w:r>
          </w:p>
        </w:tc>
      </w:tr>
    </w:tbl>
    <w:p>
      <w:pPr>
        <w:pStyle w:val="Heading2"/>
        <w:spacing w:after="120" w:before="250"/>
      </w:pPr>
      <w:r>
        <w:t xml:space="preserve">4.2 Verificación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730"/>
        <w:gridCol w:w="2730"/>
      </w:tblGrid>
      <w:tr>
        <w:tc>
          <w:tcPr>
            <w:tcW w:type="dxa" w:w="3900"/>
            <w:shd w:fill="D9E2F3" w:val="clear"/>
          </w:tcPr>
          <w:p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dxa" w:w="2730"/>
            <w:shd w:fill="D9E2F3" w:val="clear"/>
          </w:tcPr>
          <w:p>
            <w:r>
              <w:rPr>
                <w:b/>
                <w:bCs/>
              </w:rPr>
              <w:t xml:space="preserve">Antes</w:t>
            </w:r>
          </w:p>
        </w:tc>
        <w:tc>
          <w:tcPr>
            <w:tcW w:type="dxa" w:w="2730"/>
            <w:shd w:fill="D9E2F3" w:val="clear"/>
          </w:tcPr>
          <w:p>
            <w:r>
              <w:rPr>
                <w:b/>
                <w:bCs/>
              </w:rPr>
              <w:t xml:space="preserve">Después</w:t>
            </w:r>
          </w:p>
        </w:tc>
      </w:tr>
      <w:tr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Shape</w:t>
            </w:r>
          </w:p>
        </w:tc>
        <w:tc>
          <w:tcPr>
            <w:tcW w:type="dxa" w:w="2730"/>
          </w:tcPr>
          <w:p>
            <w:r>
              <w:rPr>
                <w:b w:val="false"/>
                <w:bCs w:val="false"/>
              </w:rPr>
              <w:t xml:space="preserve">421.046 × 40</w:t>
            </w:r>
          </w:p>
        </w:tc>
        <w:tc>
          <w:tcPr>
            <w:tcW w:type="dxa" w:w="2730"/>
          </w:tcPr>
          <w:p>
            <w:r>
              <w:rPr>
                <w:b w:val="false"/>
                <w:bCs w:val="false"/>
              </w:rPr>
              <w:t xml:space="preserve">421.046 × 39</w:t>
            </w:r>
          </w:p>
        </w:tc>
      </w:tr>
      <w:tr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Nulos en profundidad</w:t>
            </w:r>
          </w:p>
        </w:tc>
        <w:tc>
          <w:tcPr>
            <w:tcW w:type="dxa" w:w="2730"/>
          </w:tcPr>
          <w:p>
            <w:r>
              <w:rPr>
                <w:b w:val="false"/>
                <w:bCs w:val="false"/>
              </w:rPr>
              <w:t xml:space="preserve">122 casos &gt;10.000 + 5.738 en 0</w:t>
            </w:r>
          </w:p>
        </w:tc>
        <w:tc>
          <w:tcPr>
            <w:tcW w:type="dxa" w:w="273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prod_pet / prod_gas negativa</w:t>
            </w:r>
          </w:p>
        </w:tc>
        <w:tc>
          <w:tcPr>
            <w:tcW w:type="dxa" w:w="2730"/>
          </w:tcPr>
          <w:p>
            <w:r>
              <w:rPr>
                <w:b w:val="false"/>
                <w:bCs w:val="false"/>
              </w:rPr>
              <w:t xml:space="preserve">1 / 2</w:t>
            </w:r>
          </w:p>
        </w:tc>
        <w:tc>
          <w:tcPr>
            <w:tcW w:type="dxa" w:w="2730"/>
          </w:tcPr>
          <w:p>
            <w:r>
              <w:rPr>
                <w:b w:val="false"/>
                <w:bCs w:val="false"/>
              </w:rPr>
              <w:t xml:space="preserve">0 / 0</w:t>
            </w:r>
          </w:p>
        </w:tc>
      </w:tr>
      <w:tr>
        <w:tc>
          <w:tcPr>
            <w:tcW w:type="dxa" w:w="3900"/>
          </w:tcPr>
          <w:p>
            <w:r>
              <w:rPr>
                <w:b w:val="false"/>
                <w:bCs w:val="false"/>
              </w:rPr>
              <w:t xml:space="preserve">Filas marcadas año incompleto (2026)</w:t>
            </w:r>
          </w:p>
        </w:tc>
        <w:tc>
          <w:tcPr>
            <w:tcW w:type="dxa" w:w="273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730"/>
          </w:tcPr>
          <w:p>
            <w:r>
              <w:rPr>
                <w:b w:val="false"/>
                <w:bCs w:val="false"/>
              </w:rPr>
              <w:t xml:space="preserve">34.386</w:t>
            </w:r>
          </w:p>
        </w:tc>
      </w:tr>
    </w:tbl>
    <w:p>
      <w:pPr>
        <w:pStyle w:val="Heading2"/>
        <w:spacing w:after="120" w:before="250"/>
      </w:pPr>
      <w:r>
        <w:t xml:space="preserve">4.3 Verificación visual</w:t>
      </w:r>
    </w:p>
    <w:p>
      <w:pPr>
        <w:spacing w:after="160"/>
      </w:pPr>
      <w:r>
        <w:t xml:space="preserve">El histograma de profundidad post-limpieza mostró una distribución realista concentrada entre 1.500 y 7.000 metros, sin rastro del valor erróneo de 378.939. La serie temporal recalculada excluyendo el año incompleto mostró la curva de crecimiento limpia 2006-2025, sin la caída artificial de 2026.</w:t>
      </w:r>
    </w:p>
    <w:p>
      <w:pPr>
        <w:pStyle w:val="Heading1"/>
        <w:spacing w:after="150" w:before="300"/>
      </w:pPr>
      <w:r>
        <w:t xml:space="preserve">5. Conclusión</w:t>
      </w:r>
    </w:p>
    <w:p>
      <w:pPr>
        <w:spacing w:after="160"/>
      </w:pPr>
      <w:r>
        <w:t xml:space="preserve">La Pre-Entrega 2 queda cerrada con el dataset limpio y verificado tanto numérica como visualmente. El resultado (data limpia, con 39 columnas y sin las anomalías detectadas) es el insumo directo para la etapa de Feature Engineering y Modelado Supervisado (Pre-Entrega 3).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2026-09-12T23:08:32.754Z</dcterms:created>
  <dcterms:modified xsi:type="dcterms:W3CDTF">2026-09-12T23:08:32.762Z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