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Pre-Entrega 3 — Feature Engineering y Modelado Supervisado</w:t>
      </w:r>
    </w:p>
    <w:p>
      <w:pPr>
        <w:spacing w:after="300"/>
        <w:jc w:val="center"/>
      </w:pPr>
      <w:r>
        <w:rPr>
          <w:i/>
          <w:iCs/>
        </w:rPr>
        <w:t xml:space="preserve">Proyecto Final Integrador — Data Science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shd w:fill="D9E2F3" w:val="clear"/>
          </w:tcPr>
          <w:p>
            <w:r>
              <w:rPr>
                <w:b/>
                <w:bCs/>
              </w:rPr>
              <w:t xml:space="preserve">Alumnos</w:t>
            </w:r>
          </w:p>
        </w:tc>
        <w:tc>
          <w:tcPr>
            <w:tcW w:type="dxa" w:w="6240"/>
          </w:tcPr>
          <w:p>
            <w:r>
              <w:rPr>
                <w:b w:val="false"/>
                <w:bCs w:val="false"/>
              </w:rPr>
              <w:t xml:space="preserve">Cristian Alejandro Aguilera, Abigail Roxana Vicentelo, Ian Lionel Tapias Díaz</w:t>
            </w:r>
          </w:p>
        </w:tc>
      </w:tr>
      <w:tr>
        <w:tc>
          <w:tcPr>
            <w:tcW w:type="dxa" w:w="3120"/>
            <w:shd w:fill="D9E2F3" w:val="clear"/>
          </w:tcPr>
          <w:p>
            <w:r>
              <w:rPr>
                <w:b/>
                <w:bCs/>
              </w:rPr>
              <w:t xml:space="preserve">Programa</w:t>
            </w:r>
          </w:p>
        </w:tc>
        <w:tc>
          <w:tcPr>
            <w:tcW w:type="dxa" w:w="6240"/>
          </w:tcPr>
          <w:p>
            <w:r>
              <w:rPr>
                <w:b w:val="false"/>
                <w:bCs w:val="false"/>
              </w:rPr>
              <w:t xml:space="preserve">Data Science 2026 (Fundación YPF - Jump)</w:t>
            </w:r>
          </w:p>
        </w:tc>
      </w:tr>
      <w:tr>
        <w:tc>
          <w:tcPr>
            <w:tcW w:type="dxa" w:w="3120"/>
            <w:shd w:fill="D9E2F3" w:val="clear"/>
          </w:tcPr>
          <w:p>
            <w:r>
              <w:rPr>
                <w:b/>
                <w:bCs/>
              </w:rPr>
              <w:t xml:space="preserve">Repositorio GitHub</w:t>
            </w:r>
          </w:p>
        </w:tc>
        <w:tc>
          <w:tcPr>
            <w:tcW w:type="dxa" w:w="6240"/>
          </w:tcPr>
          <w:p>
            <w:r>
              <w:rPr>
                <w:b w:val="false"/>
                <w:bCs w:val="false"/>
              </w:rPr>
              <w:t xml:space="preserve">https://github.com/cristian-aguilera-ing/proyecto-ds-ypf.git</w:t>
            </w:r>
          </w:p>
        </w:tc>
      </w:tr>
    </w:tbl>
    <w:p>
      <w:pPr>
        <w:spacing w:after="200"/>
      </w:pPr>
    </w:p>
    <w:p>
      <w:pPr>
        <w:pStyle w:val="Heading1"/>
        <w:spacing w:after="150" w:before="300"/>
      </w:pPr>
      <w:r>
        <w:t xml:space="preserve">1. Feature Engineering (notebooks/02_feature_engineering.ipynb)</w:t>
      </w:r>
    </w:p>
    <w:p>
      <w:pPr>
        <w:spacing w:after="160"/>
      </w:pPr>
      <w:r>
        <w:t xml:space="preserve">Sobre el dataset limpio de la Pre-Entrega 2, se construyeron variables derivadas orientadas a capturar el comportamiento temporal de cada pozo: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9E2F3" w:val="clear"/>
          </w:tcPr>
          <w:p>
            <w:r>
              <w:rPr>
                <w:b/>
                <w:bCs/>
              </w:rPr>
              <w:t xml:space="preserve">Variable</w:t>
            </w:r>
          </w:p>
        </w:tc>
        <w:tc>
          <w:tcPr>
            <w:tcW w:type="dxa" w:w="5160"/>
            <w:shd w:fill="D9E2F3" w:val="clear"/>
          </w:tcPr>
          <w:p>
            <w:r>
              <w:rPr>
                <w:b/>
                <w:bCs/>
              </w:rPr>
              <w:t xml:space="preserve">Descripción</w:t>
            </w:r>
          </w:p>
        </w:tc>
      </w:tr>
      <w:tr>
        <w:tc>
          <w:tcPr>
            <w:tcW w:type="dxa" w:w="4200"/>
          </w:tcPr>
          <w:p>
            <w:r>
              <w:rPr>
                <w:b w:val="false"/>
                <w:bCs w:val="false"/>
              </w:rPr>
              <w:t xml:space="preserve">antiguedad_meses</w:t>
            </w:r>
          </w:p>
        </w:tc>
        <w:tc>
          <w:tcPr>
            <w:tcW w:type="dxa" w:w="5160"/>
          </w:tcPr>
          <w:p>
            <w:r>
              <w:rPr>
                <w:b w:val="false"/>
                <w:bCs w:val="false"/>
              </w:rPr>
              <w:t xml:space="preserve">Número de mes de producción del pozo (1 = primer mes registrado)</w:t>
            </w:r>
          </w:p>
        </w:tc>
      </w:tr>
      <w:tr>
        <w:tc>
          <w:tcPr>
            <w:tcW w:type="dxa" w:w="4200"/>
          </w:tcPr>
          <w:p>
            <w:r>
              <w:rPr>
                <w:b w:val="false"/>
                <w:bCs w:val="false"/>
              </w:rPr>
              <w:t xml:space="preserve">prod_pet_mes_anterior / prod_gas_mes_anterior</w:t>
            </w:r>
          </w:p>
        </w:tc>
        <w:tc>
          <w:tcPr>
            <w:tcW w:type="dxa" w:w="5160"/>
          </w:tcPr>
          <w:p>
            <w:r>
              <w:rPr>
                <w:b w:val="false"/>
                <w:bCs w:val="false"/>
              </w:rPr>
              <w:t xml:space="preserve">Producción del mes anterior (lag), por pozo</w:t>
            </w:r>
          </w:p>
        </w:tc>
      </w:tr>
      <w:tr>
        <w:tc>
          <w:tcPr>
            <w:tcW w:type="dxa" w:w="4200"/>
          </w:tcPr>
          <w:p>
            <w:r>
              <w:rPr>
                <w:b w:val="false"/>
                <w:bCs w:val="false"/>
              </w:rPr>
              <w:t xml:space="preserve">declinacion_pet / declinacion_gas</w:t>
            </w:r>
          </w:p>
        </w:tc>
        <w:tc>
          <w:tcPr>
            <w:tcW w:type="dxa" w:w="5160"/>
          </w:tcPr>
          <w:p>
            <w:r>
              <w:rPr>
                <w:b w:val="false"/>
                <w:bCs w:val="false"/>
              </w:rPr>
              <w:t xml:space="preserve">% de variación respecto al mes anterior</w:t>
            </w:r>
          </w:p>
        </w:tc>
      </w:tr>
      <w:tr>
        <w:tc>
          <w:tcPr>
            <w:tcW w:type="dxa" w:w="4200"/>
          </w:tcPr>
          <w:p>
            <w:r>
              <w:rPr>
                <w:b w:val="false"/>
                <w:bCs w:val="false"/>
              </w:rPr>
              <w:t xml:space="preserve">ratio_gas_petroleo</w:t>
            </w:r>
          </w:p>
        </w:tc>
        <w:tc>
          <w:tcPr>
            <w:tcW w:type="dxa" w:w="5160"/>
          </w:tcPr>
          <w:p>
            <w:r>
              <w:rPr>
                <w:b w:val="false"/>
                <w:bCs w:val="false"/>
              </w:rPr>
              <w:t xml:space="preserve">Relación gas/petróleo del mes</w:t>
            </w:r>
          </w:p>
        </w:tc>
      </w:tr>
      <w:tr>
        <w:tc>
          <w:tcPr>
            <w:tcW w:type="dxa" w:w="4200"/>
          </w:tcPr>
          <w:p>
            <w:r>
              <w:rPr>
                <w:b w:val="false"/>
                <w:bCs w:val="false"/>
              </w:rPr>
              <w:t xml:space="preserve">prod_pet_acumulada / prod_gas_acumulada</w:t>
            </w:r>
          </w:p>
        </w:tc>
        <w:tc>
          <w:tcPr>
            <w:tcW w:type="dxa" w:w="5160"/>
          </w:tcPr>
          <w:p>
            <w:r>
              <w:rPr>
                <w:b w:val="false"/>
                <w:bCs w:val="false"/>
              </w:rPr>
              <w:t xml:space="preserve">Producción acumulada del pozo hasta ese mes</w:t>
            </w:r>
          </w:p>
        </w:tc>
      </w:tr>
      <w:tr>
        <w:tc>
          <w:tcPr>
            <w:tcW w:type="dxa" w:w="4200"/>
          </w:tcPr>
          <w:p>
            <w:r>
              <w:rPr>
                <w:b w:val="false"/>
                <w:bCs w:val="false"/>
              </w:rPr>
              <w:t xml:space="preserve">formacion_cod / cuenca_cod</w:t>
            </w:r>
          </w:p>
        </w:tc>
        <w:tc>
          <w:tcPr>
            <w:tcW w:type="dxa" w:w="5160"/>
          </w:tcPr>
          <w:p>
            <w:r>
              <w:rPr>
                <w:b w:val="false"/>
                <w:bCs w:val="false"/>
              </w:rPr>
              <w:t xml:space="preserve">Codificación numérica de formacion y cuenca</w:t>
            </w:r>
          </w:p>
        </w:tc>
      </w:tr>
    </w:tbl>
    <w:p>
      <w:pPr>
        <w:spacing w:after="160"/>
      </w:pPr>
      <w:r>
        <w:t xml:space="preserve">La verificación visual sobre el pozo con más historia confirmó que la producción acumulada es siempre creciente y que la curva mensual sigue el patrón esperable de un pozo no convencional. Se detectó, en ese mismo pozo, un pico de producción puntual (posible reestimulación/refractura), señalado como punto de atención para el modelado.</w:t>
      </w:r>
    </w:p>
    <w:p>
      <w:pPr>
        <w:pStyle w:val="Heading1"/>
        <w:spacing w:after="150" w:before="300"/>
      </w:pPr>
      <w:r>
        <w:t xml:space="preserve">2. Diseño del Experimento de Modelado</w:t>
      </w:r>
    </w:p>
    <w:p>
      <w:pPr>
        <w:pStyle w:val="ListParagraph"/>
        <w:numPr>
          <w:ilvl w:val="0"/>
          <w:numId w:val="1"/>
        </w:numPr>
        <w:spacing w:after="80"/>
      </w:pPr>
      <w:r>
        <w:t xml:space="preserve">Variable objetivo: prod_pet (producción mensual de petróleo por pozo).</w:t>
      </w:r>
    </w:p>
    <w:p>
      <w:pPr>
        <w:pStyle w:val="ListParagraph"/>
        <w:numPr>
          <w:ilvl w:val="0"/>
          <w:numId w:val="1"/>
        </w:numPr>
        <w:spacing w:after="80"/>
      </w:pPr>
      <w:r>
        <w:t xml:space="preserve">Modelo: XGBoost (XGBRegressor), parámetros base sin optimizar (n_estimators=200, max_depth=5, learning_rate=0.1).</w:t>
      </w:r>
    </w:p>
    <w:p>
      <w:pPr>
        <w:pStyle w:val="ListParagraph"/>
        <w:numPr>
          <w:ilvl w:val="0"/>
          <w:numId w:val="1"/>
        </w:numPr>
        <w:spacing w:after="80"/>
      </w:pPr>
      <w:r>
        <w:t xml:space="preserve">Separación train/test respetando el tiempo (no aleatoria): entrenamiento con años anteriores a 2024, prueba con 2024-2025.</w:t>
      </w:r>
    </w:p>
    <w:p>
      <w:pPr>
        <w:pStyle w:val="ListParagraph"/>
        <w:numPr>
          <w:ilvl w:val="0"/>
          <w:numId w:val="1"/>
        </w:numPr>
        <w:spacing w:after="80"/>
      </w:pPr>
      <w:r>
        <w:t xml:space="preserve">Se excluyeron del entrenamiento el primer mes de cada pozo (sin "mes anterior" disponible) y el año 2026 (incompleto).</w:t>
      </w:r>
    </w:p>
    <w:p>
      <w:pPr>
        <w:pStyle w:val="Heading1"/>
        <w:spacing w:after="150" w:before="300"/>
      </w:pPr>
      <w:r>
        <w:t xml:space="preserve">3. Iteración 1 — Modelo Base (7 features)</w:t>
      </w:r>
    </w:p>
    <w:p>
      <w:pPr>
        <w:spacing w:after="160"/>
      </w:pPr>
      <w:r>
        <w:t xml:space="preserve">Features: antiguedad_meses, prod_pet_mes_anterior, prod_gas_mes_anterior, ratio_gas_petroleo, profundidad, formacion_cod, cuenca_cod.</w:t>
      </w:r>
    </w:p>
    <w:p>
      <w:pPr>
        <w:spacing w:after="160"/>
      </w:pPr>
      <w:r>
        <w:rPr>
          <w:b/>
          <w:bCs/>
        </w:rPr>
        <w:t xml:space="preserve">Resultado: </w:t>
      </w:r>
      <w:r>
        <w:t xml:space="preserve">MAE 195,11 — RMSE 520,31 — R² 0,853. Buen ajuste en el rango bajo-medio de producción, pero subestimación sistemática de los pozos con picos muy altos (&gt;10.000). prod_pet_mes_anterior concentró más del 90% de la importancia.</w:t>
      </w:r>
    </w:p>
    <w:p>
      <w:pPr>
        <w:pStyle w:val="Heading1"/>
        <w:spacing w:after="150" w:before="300"/>
      </w:pPr>
      <w:r>
        <w:t xml:space="preserve">4. Iteración 2 — Fuga de Datos Detectada y Descartada</w:t>
      </w:r>
    </w:p>
    <w:p>
      <w:pPr>
        <w:spacing w:after="160"/>
      </w:pPr>
      <w:r>
        <w:t xml:space="preserve">Se intentó agregar declinacion_pet (variación % respecto al mes actual). El R² subió a 0,978 — un salto sospechoso.</w:t>
      </w:r>
    </w:p>
    <w:p>
      <w:pPr>
        <w:spacing w:after="160"/>
      </w:pPr>
      <w:r>
        <w:rPr>
          <w:b/>
          <w:bCs/>
        </w:rPr>
        <w:t xml:space="preserve">Diagnóstico: </w:t>
      </w:r>
      <w:r>
        <w:t xml:space="preserve">declinacion_pet se calcula como (prod_pet − prod_pet_mes_anterior) / prod_pet_mes_anterior. La variable objetivo queda embebida en la fórmula de la propia feature, por lo que prod_pet se puede despejar algebraicamente combinando las dos variables. El modelo no predecía: recibía la respuesta disfrazada.</w:t>
      </w:r>
    </w:p>
    <w:p>
      <w:pPr>
        <w:spacing w:after="160"/>
      </w:pPr>
      <w:r>
        <w:t xml:space="preserve">Se confirmó observando que, pese al R² casi perfecto, el error en picos altos seguía siendo grande (2.580 en promedio). Descartada: no es utilizable en producción, ya que requiere conocer de antemano el dato que se busca estimar.</w:t>
      </w:r>
    </w:p>
    <w:p>
      <w:pPr>
        <w:pStyle w:val="Heading1"/>
        <w:spacing w:after="150" w:before="300"/>
      </w:pPr>
      <w:r>
        <w:t xml:space="preserve">5. Iteración 3 — Modelo Corregido (8 features)</w:t>
      </w:r>
    </w:p>
    <w:p>
      <w:pPr>
        <w:spacing w:after="160"/>
      </w:pPr>
      <w:r>
        <w:t xml:space="preserve">Se reemplazó la variable con fuga por declinacion_pet_anterior (declinación del mes anterior al anterior — información ya conocida al momento de predecir, sin fuga).</w:t>
      </w:r>
    </w:p>
    <w:p>
      <w:pPr>
        <w:spacing w:after="160"/>
      </w:pPr>
      <w:r>
        <w:rPr>
          <w:b/>
          <w:bCs/>
        </w:rPr>
        <w:t xml:space="preserve">Resultado: </w:t>
      </w:r>
      <w:r>
        <w:t xml:space="preserve">MAE 163,33 — RMSE 445,42 — R² 0,885. Mejora real y modesta respecto al modelo base. declinacion_pet_anterior aparece como tercera variable en importancia, sin dominar el modelo. El problema de subestimación de picos altos persistía.</w:t>
      </w:r>
    </w:p>
    <w:p>
      <w:pPr>
        <w:pStyle w:val="Heading1"/>
        <w:spacing w:after="150" w:before="300"/>
      </w:pPr>
      <w:r>
        <w:t xml:space="preserve">6. Iteración 4 — Máximo Histórico del Pozo (Descartada)</w:t>
      </w:r>
    </w:p>
    <w:p>
      <w:pPr>
        <w:spacing w:after="160"/>
      </w:pPr>
      <w:r>
        <w:t xml:space="preserve">Se agregó prod_pet_maxima_anterior (máximo histórico de producción del pozo, calculado sin fuga de datos), con la hipótesis de que ayudaría al modelo a anticipar pozos con antecedentes de picos.</w:t>
      </w:r>
    </w:p>
    <w:p>
      <w:pPr>
        <w:spacing w:after="160"/>
      </w:pPr>
      <w:r>
        <w:rPr>
          <w:b/>
          <w:bCs/>
        </w:rPr>
        <w:t xml:space="preserve">Resultado: </w:t>
      </w:r>
      <w:r>
        <w:t xml:space="preserve">MAE 165,63 — RMSE 444,47 — R² 0,885. Prácticamente idéntico a la iteración 3; el gráfico de importancia mostró que el modelo casi no utilizó esta variable. Descartada por no aportar mejora real, priorizando un modelo más simple.</w:t>
      </w:r>
    </w:p>
    <w:p>
      <w:pPr>
        <w:pStyle w:val="Heading1"/>
        <w:spacing w:after="150" w:before="300"/>
      </w:pPr>
      <w:r>
        <w:t xml:space="preserve">7. Iteración 5 — Log-transform del Objetivo (Descartada)</w:t>
      </w:r>
    </w:p>
    <w:p>
      <w:pPr>
        <w:spacing w:after="160"/>
      </w:pPr>
      <w:r>
        <w:t xml:space="preserve">En vez de agregar otra variable, se entrenó el modelo sobre log(1 + prod_pet), una técnica estándar para atenuar el efecto de distribuciones sesgadas sobre el error cuadrático.</w:t>
      </w:r>
    </w:p>
    <w:p>
      <w:pPr>
        <w:spacing w:after="160"/>
      </w:pPr>
      <w:r>
        <w:rPr>
          <w:b/>
          <w:bCs/>
        </w:rPr>
        <w:t xml:space="preserve">Resultado: </w:t>
      </w:r>
      <w:r>
        <w:t xml:space="preserve">MAE 163,09 — RMSE 501,67 — R² 0,854. El RMSE empeoró y el error en picos altos subió a 6.028. El gráfico de real vs. predicho reveló el motivo: al revertir el logaritmo, pequeños errores en escala logarítmica se amplifican exponencialmente, generando sobreestimaciones extremas (predicciones de hasta 35.000 para pozos que producían realmente 7.000-10.000). Descartada por introducir un problema nuevo y más grave que el original.</w:t>
      </w:r>
    </w:p>
    <w:p>
      <w:pPr>
        <w:pStyle w:val="Heading1"/>
        <w:spacing w:after="150" w:before="300"/>
      </w:pPr>
      <w:r>
        <w:t xml:space="preserve">8. Modelo Final y Tabla Comparativa</w:t>
      </w:r>
    </w:p>
    <w:p>
      <w:pPr>
        <w:spacing w:after="160"/>
      </w:pPr>
      <w:r>
        <w:t xml:space="preserve">Tras 4 iteraciones sobre el modelo base, la combinación ganadora es la de la Iteración 3 (8 features, entrenamiento directo sobre prod_pet, sin log-transform ni variable de máximo histórico) — la mejor relación entre métricas y simplicidad.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D9E2F3" w:val="clear"/>
          </w:tcPr>
          <w:p>
            <w:r>
              <w:rPr>
                <w:b/>
                <w:bCs/>
              </w:rPr>
              <w:t xml:space="preserve">Métrica</w:t>
            </w:r>
          </w:p>
        </w:tc>
        <w:tc>
          <w:tcPr>
            <w:tcW w:type="dxa" w:w="1560"/>
            <w:shd w:fill="D9E2F3" w:val="clear"/>
          </w:tcPr>
          <w:p>
            <w:r>
              <w:rPr>
                <w:b/>
                <w:bCs/>
              </w:rPr>
              <w:t xml:space="preserve">Base (7 feat.)</w:t>
            </w:r>
          </w:p>
        </w:tc>
        <w:tc>
          <w:tcPr>
            <w:tcW w:type="dxa" w:w="1560"/>
            <w:shd w:fill="D9E2F3" w:val="clear"/>
          </w:tcPr>
          <w:p>
            <w:r>
              <w:rPr>
                <w:b/>
                <w:bCs/>
              </w:rPr>
              <w:t xml:space="preserve">Con fuga (desc.)</w:t>
            </w:r>
          </w:p>
        </w:tc>
        <w:tc>
          <w:tcPr>
            <w:tcW w:type="dxa" w:w="1560"/>
            <w:shd w:fill="D9E2F3" w:val="clear"/>
          </w:tcPr>
          <w:p>
            <w:r>
              <w:rPr>
                <w:b/>
                <w:bCs/>
              </w:rPr>
              <w:t xml:space="preserve">+ máxima (desc.)</w:t>
            </w:r>
          </w:p>
        </w:tc>
        <w:tc>
          <w:tcPr>
            <w:tcW w:type="dxa" w:w="1560"/>
            <w:shd w:fill="D9E2F3" w:val="clear"/>
          </w:tcPr>
          <w:p>
            <w:r>
              <w:rPr>
                <w:b/>
                <w:bCs/>
              </w:rPr>
              <w:t xml:space="preserve">Log-transform (desc.)</w:t>
            </w:r>
          </w:p>
        </w:tc>
        <w:tc>
          <w:tcPr>
            <w:tcW w:type="dxa" w:w="1560"/>
            <w:shd w:fill="D9E2F3" w:val="clear"/>
          </w:tcPr>
          <w:p>
            <w:r>
              <w:rPr>
                <w:b/>
                <w:bCs/>
              </w:rPr>
              <w:t xml:space="preserve">FINAL (8 feat.)</w:t>
            </w:r>
          </w:p>
        </w:tc>
      </w:tr>
      <w:tr>
        <w:tc>
          <w:tcPr>
            <w:tcW w:type="dxa" w:w="1560"/>
          </w:tcPr>
          <w:p>
            <w:r>
              <w:rPr>
                <w:b w:val="false"/>
                <w:bCs w:val="false"/>
              </w:rPr>
              <w:t xml:space="preserve">MAE</w:t>
            </w:r>
          </w:p>
        </w:tc>
        <w:tc>
          <w:tcPr>
            <w:tcW w:type="dxa" w:w="1560"/>
          </w:tcPr>
          <w:p>
            <w:r>
              <w:rPr>
                <w:b w:val="false"/>
                <w:bCs w:val="false"/>
              </w:rPr>
              <w:t xml:space="preserve">195,11</w:t>
            </w:r>
          </w:p>
        </w:tc>
        <w:tc>
          <w:tcPr>
            <w:tcW w:type="dxa" w:w="1560"/>
          </w:tcPr>
          <w:p>
            <w:r>
              <w:rPr>
                <w:b w:val="false"/>
                <w:bCs w:val="false"/>
              </w:rPr>
              <w:t xml:space="preserve">38,86</w:t>
            </w:r>
          </w:p>
        </w:tc>
        <w:tc>
          <w:tcPr>
            <w:tcW w:type="dxa" w:w="1560"/>
          </w:tcPr>
          <w:p>
            <w:r>
              <w:rPr>
                <w:b w:val="false"/>
                <w:bCs w:val="false"/>
              </w:rPr>
              <w:t xml:space="preserve">165,63</w:t>
            </w:r>
          </w:p>
        </w:tc>
        <w:tc>
          <w:tcPr>
            <w:tcW w:type="dxa" w:w="1560"/>
          </w:tcPr>
          <w:p>
            <w:r>
              <w:rPr>
                <w:b w:val="false"/>
                <w:bCs w:val="false"/>
              </w:rPr>
              <w:t xml:space="preserve">163,09</w:t>
            </w:r>
          </w:p>
        </w:tc>
        <w:tc>
          <w:tcPr>
            <w:tcW w:type="dxa" w:w="1560"/>
          </w:tcPr>
          <w:p>
            <w:r>
              <w:rPr>
                <w:b w:val="false"/>
                <w:bCs w:val="false"/>
              </w:rPr>
              <w:t xml:space="preserve">163,33</w:t>
            </w:r>
          </w:p>
        </w:tc>
      </w:tr>
      <w:tr>
        <w:tc>
          <w:tcPr>
            <w:tcW w:type="dxa" w:w="1560"/>
          </w:tcPr>
          <w:p>
            <w:r>
              <w:rPr>
                <w:b w:val="false"/>
                <w:bCs w:val="false"/>
              </w:rPr>
              <w:t xml:space="preserve">RMSE</w:t>
            </w:r>
          </w:p>
        </w:tc>
        <w:tc>
          <w:tcPr>
            <w:tcW w:type="dxa" w:w="1560"/>
          </w:tcPr>
          <w:p>
            <w:r>
              <w:rPr>
                <w:b w:val="false"/>
                <w:bCs w:val="false"/>
              </w:rPr>
              <w:t xml:space="preserve">520,31</w:t>
            </w:r>
          </w:p>
        </w:tc>
        <w:tc>
          <w:tcPr>
            <w:tcW w:type="dxa" w:w="1560"/>
          </w:tcPr>
          <w:p>
            <w:r>
              <w:rPr>
                <w:b w:val="false"/>
                <w:bCs w:val="false"/>
              </w:rPr>
              <w:t xml:space="preserve">204,07</w:t>
            </w:r>
          </w:p>
        </w:tc>
        <w:tc>
          <w:tcPr>
            <w:tcW w:type="dxa" w:w="1560"/>
          </w:tcPr>
          <w:p>
            <w:r>
              <w:rPr>
                <w:b w:val="false"/>
                <w:bCs w:val="false"/>
              </w:rPr>
              <w:t xml:space="preserve">444,47</w:t>
            </w:r>
          </w:p>
        </w:tc>
        <w:tc>
          <w:tcPr>
            <w:tcW w:type="dxa" w:w="1560"/>
          </w:tcPr>
          <w:p>
            <w:r>
              <w:rPr>
                <w:b w:val="false"/>
                <w:bCs w:val="false"/>
              </w:rPr>
              <w:t xml:space="preserve">501,67</w:t>
            </w:r>
          </w:p>
        </w:tc>
        <w:tc>
          <w:tcPr>
            <w:tcW w:type="dxa" w:w="1560"/>
          </w:tcPr>
          <w:p>
            <w:r>
              <w:rPr>
                <w:b w:val="false"/>
                <w:bCs w:val="false"/>
              </w:rPr>
              <w:t xml:space="preserve">445,42</w:t>
            </w:r>
          </w:p>
        </w:tc>
      </w:tr>
      <w:tr>
        <w:tc>
          <w:tcPr>
            <w:tcW w:type="dxa" w:w="1560"/>
          </w:tcPr>
          <w:p>
            <w:r>
              <w:rPr>
                <w:b w:val="false"/>
                <w:bCs w:val="false"/>
              </w:rPr>
              <w:t xml:space="preserve">R²</w:t>
            </w:r>
          </w:p>
        </w:tc>
        <w:tc>
          <w:tcPr>
            <w:tcW w:type="dxa" w:w="1560"/>
          </w:tcPr>
          <w:p>
            <w:r>
              <w:rPr>
                <w:b w:val="false"/>
                <w:bCs w:val="false"/>
              </w:rPr>
              <w:t xml:space="preserve">0,853</w:t>
            </w:r>
          </w:p>
        </w:tc>
        <w:tc>
          <w:tcPr>
            <w:tcW w:type="dxa" w:w="1560"/>
          </w:tcPr>
          <w:p>
            <w:r>
              <w:rPr>
                <w:b w:val="false"/>
                <w:bCs w:val="false"/>
              </w:rPr>
              <w:t xml:space="preserve">0,978</w:t>
            </w:r>
          </w:p>
        </w:tc>
        <w:tc>
          <w:tcPr>
            <w:tcW w:type="dxa" w:w="1560"/>
          </w:tcPr>
          <w:p>
            <w:r>
              <w:rPr>
                <w:b w:val="false"/>
                <w:bCs w:val="false"/>
              </w:rPr>
              <w:t xml:space="preserve">0,885</w:t>
            </w:r>
          </w:p>
        </w:tc>
        <w:tc>
          <w:tcPr>
            <w:tcW w:type="dxa" w:w="1560"/>
          </w:tcPr>
          <w:p>
            <w:r>
              <w:rPr>
                <w:b w:val="false"/>
                <w:bCs w:val="false"/>
              </w:rPr>
              <w:t xml:space="preserve">0,854</w:t>
            </w:r>
          </w:p>
        </w:tc>
        <w:tc>
          <w:tcPr>
            <w:tcW w:type="dxa" w:w="1560"/>
          </w:tcPr>
          <w:p>
            <w:r>
              <w:rPr>
                <w:b w:val="false"/>
                <w:bCs w:val="false"/>
              </w:rPr>
              <w:t xml:space="preserve">0,885</w:t>
            </w:r>
          </w:p>
        </w:tc>
      </w:tr>
    </w:tbl>
    <w:p>
      <w:pPr>
        <w:pStyle w:val="Heading1"/>
        <w:spacing w:after="150" w:before="300"/>
      </w:pPr>
      <w:r>
        <w:t xml:space="preserve">9. Limitación Conocida (Aceptada)</w:t>
      </w:r>
    </w:p>
    <w:p>
      <w:pPr>
        <w:spacing w:after="160"/>
      </w:pPr>
      <w:r>
        <w:t xml:space="preserve">En todas las versiones válidas, el modelo subestima los pozos con picos de producción muy altos (posibles eventos de reestimulación/refractura). Se probaron dos enfoques distintos para resolverlo y ninguno mejoró el resultado — uno incluso lo empeoró de forma más grave. Esto sugiere que el problema no es de ingeniería sobre los datos disponibles, sino de ausencia de una variable que el dataset no incluye (por ejemplo, si se programó una intervención en el pozo). Se documenta como limitación conocida y se avanza con evidencia en mano.</w:t>
      </w:r>
    </w:p>
    <w:p>
      <w:pPr>
        <w:spacing w:after="160"/>
      </w:pPr>
      <w:r>
        <w:t xml:space="preserve">El modelo final se guardó en models/modelo_produccion_pet.joblib.</w:t>
      </w:r>
    </w:p>
    <w:p>
      <w:pPr>
        <w:pStyle w:val="Heading1"/>
        <w:spacing w:after="150" w:before="300"/>
      </w:pPr>
      <w:r>
        <w:t xml:space="preserve">10. Próximos Pasos</w:t>
      </w:r>
    </w:p>
    <w:p>
      <w:pPr>
        <w:pStyle w:val="ListParagraph"/>
        <w:numPr>
          <w:ilvl w:val="0"/>
          <w:numId w:val="1"/>
        </w:numPr>
        <w:spacing w:after="80"/>
      </w:pPr>
      <w:r>
        <w:t xml:space="preserve">notebooks/04_modelado_no_supervisado_dl.ipynb: clustering (K-Means) de pozos según su curva de producción/declinación — los pozos con picos son candidatos a revisar como grupo aparte.</w:t>
      </w:r>
    </w:p>
    <w:p>
      <w:pPr>
        <w:pStyle w:val="ListParagraph"/>
        <w:numPr>
          <w:ilvl w:val="0"/>
          <w:numId w:val="1"/>
        </w:numPr>
        <w:spacing w:after="80"/>
      </w:pPr>
      <w:r>
        <w:t xml:space="preserve">Explicabilidad (SHAP) sobre el modelo de regresión final.</w:t>
      </w:r>
    </w:p>
    <w:p>
      <w:pPr>
        <w:pStyle w:val="ListParagraph"/>
        <w:numPr>
          <w:ilvl w:val="0"/>
          <w:numId w:val="1"/>
        </w:numPr>
        <w:spacing w:after="80"/>
      </w:pPr>
      <w:r>
        <w:t xml:space="preserve">Entrega Final: API en FastAPI, Dockerfile y documentación completa en README.md.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2026-09-13T16:14:45.908Z</dcterms:created>
  <dcterms:modified xsi:type="dcterms:W3CDTF">2026-09-13T16:14:45.916Z</dcterms:modified>
</cp:coreProperties>
</file>

<file path=docProps/custom.xml><?xml version="1.0" encoding="utf-8"?>
<Properties xmlns="http://schemas.openxmlformats.org/officeDocument/2006/custom-properties" xmlns:vt="http://schemas.openxmlformats.org/officeDocument/2006/docPropsVTypes"/>
</file>