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color w:val="1F3864"/>
          <w:sz w:val="44"/>
          <w:szCs w:val="44"/>
        </w:rPr>
        <w:t xml:space="preserve">INFORME DE AVANCE</w:t>
      </w:r>
    </w:p>
    <w:p>
      <w:pPr>
        <w:spacing w:after="300"/>
        <w:jc w:val="center"/>
      </w:pPr>
      <w:r>
        <w:rPr>
          <w:b/>
          <w:bCs/>
          <w:color w:val="2E5395"/>
          <w:sz w:val="30"/>
          <w:szCs w:val="30"/>
        </w:rPr>
        <w:t xml:space="preserve">Proyecto Final Data Science — YPF / Vaca Muerta</w:t>
      </w:r>
    </w:p>
    <w:p>
      <w:pPr>
        <w:spacing w:after="500"/>
        <w:jc w:val="center"/>
      </w:pPr>
      <w:r>
        <w:rPr>
          <w:i/>
          <w:iCs/>
          <w:color w:val="595959"/>
          <w:sz w:val="22"/>
          <w:szCs w:val="22"/>
        </w:rPr>
        <w:t xml:space="preserve">Predicción y Optimización de la Producción de Hidrocarburos No Convencionales</w:t>
      </w:r>
    </w:p>
    <w:p>
      <w:pPr>
        <w:jc w:val="center"/>
      </w:pPr>
      <w:r>
        <w:rPr>
          <w:sz w:val="22"/>
          <w:szCs w:val="22"/>
        </w:rPr>
        <w:t xml:space="preserve">Período: 3 al 14 de septiembre de 2026</w:t>
      </w:r>
    </w:p>
    <w:p>
      <w:pPr>
        <w:spacing w:after="400"/>
        <w:jc w:val="center"/>
      </w:pPr>
      <w:r>
        <w:rPr>
          <w:i/>
          <w:iCs/>
          <w:color w:val="444444"/>
          <w:sz w:val="22"/>
          <w:szCs w:val="22"/>
        </w:rPr>
        <w:t xml:space="preserve">Etapa actual: Pre-Entrega 3 (Modelado Supervisado) — CERRADA, incluyendo comparación XGBoost vs. LightGBM. Próximo paso: Modelado No Supervisado (clustering).</w:t>
      </w:r>
    </w:p>
    <w:p>
      <w:r>
        <w:br w:type="page"/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1. Objetivo del proyecto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Predecir la curva de producción acumulada mensual de petróleo y gas en pozos no convencionales (shale/tight) de la cuenca Neuquina, a partir de parámetros geológicos y de completación, usando regresión supervisada (XGBoost / LightGBM) y clustering no supervisado (K-Means) para agrupar pozos según su curva de declinación.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2. Fuente de datos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identificó y descargó el dataset oficial de la </w:t>
      </w:r>
      <w:r>
        <w:rPr>
          <w:b/>
          <w:bCs/>
          <w:i w:val="false"/>
          <w:iCs w:val="false"/>
          <w:sz w:val="22"/>
          <w:szCs w:val="22"/>
        </w:rPr>
        <w:t xml:space="preserve">Secretaría de Energía de la Nación Argentina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dentro del dataset "Producción de petróleo y gas por pozo (Capítulo IV)":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Archivo principal: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 w:val="false"/>
          <w:bCs w:val="false"/>
          <w:i/>
          <w:iCs/>
          <w:sz w:val="22"/>
          <w:szCs w:val="22"/>
        </w:rPr>
        <w:t xml:space="preserve">Producción de Pozos de Gas y Petróleo No Convencional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— ya viene filtrado a pozos shale/tight, evitando tener que separarlos manualmente del resto del universo de pozos convencionales.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Archivo complementario: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 w:val="false"/>
          <w:bCs w:val="false"/>
          <w:i/>
          <w:iCs/>
          <w:sz w:val="22"/>
          <w:szCs w:val="22"/>
        </w:rPr>
        <w:t xml:space="preserve">Capítulo IV - Pozos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— metadatos de pozos (se descargó pero, como se detalla más abajo, no resultó necesario para el cruce inicial).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Portal: https://datos.gob.ar/dataset/energia-produccion-petroleo-gas-por-pozo-capitulo-iv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Nota: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una primera exploración en Google Colab había mostrado solo 5.701 filas (2015-2018), lo cual resultó ser una muestra parcial. El archivo efectivamente cargado en el entorno de trabajo (VS Code) contiene el histórico completo.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3. Entorno de trabajo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Estructura de repositorio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creada según el estándar del curso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notebooks/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src/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api/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models/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reports/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más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Dockerfile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requirements.txt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README.md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Entorno virtual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creado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python3 -m venv venv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(Python 3.14.6, instalado vía Homebrew) para aislar las dependencias del sistema operativo.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venv/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agregado a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.gitignore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para no versionarlo.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Dependencias instaladas dentro del entorno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pandas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por el momento) y congeladas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requirements.txt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pip freeze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4.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src/data_loader.py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construyó el módulo de ingesta con responsabilidad única: </w:t>
      </w:r>
      <w:r>
        <w:rPr>
          <w:b/>
          <w:bCs/>
          <w:i w:val="false"/>
          <w:iCs w:val="false"/>
          <w:sz w:val="22"/>
          <w:szCs w:val="22"/>
        </w:rPr>
        <w:t xml:space="preserve">leer y validar los datos crudos, sin transformarlos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(esa tarea queda reservada a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preprocessor.py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Funciones implementadas: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`cargar_produccion_no_convencional()`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lee el CSV principal desde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data/raw/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valida que estén presentes las columnas mínimas esperadas por el resto del pipeline y falla con un error claro si no lo están (en vez de dejar que el problema aparezca más adelante en el modelado).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`cargar_capitulo_iv_pozos()`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lee el CSV complementario de metadatos de pozos, mismo criterio de validación.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`validar_calidad()`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función de diagnóstico que no modifica datos, solo reporta: duplicados, nulos por columna, rangos sospechosos de profundidad, producción negativa y cobertura temporal. Pensada como insumo directo para el EDA.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Decisión de diseño: las rutas se resuelven de forma relativa a la ubicación del script (no al directorio desde donde se ejecuta), evitando el problema de rutas absolutas que exige evitar la consigna de reproducibilidad del curso.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5. Resultados obtenidos hasta el momento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5.1 Dimensiones y cobertura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4675"/>
        <w:gridCol w:w="4675"/>
      </w:tblGrid>
      <w:tr>
        <w:trPr>
          <w:tblHeader/>
        </w:trPr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Filas totales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421.046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Columnas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Rango temporal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2006 – 2026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Duplicados (pozo-año-mes)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5.2 Columnas con valores nulos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3116"/>
        <w:gridCol w:w="3116"/>
        <w:gridCol w:w="3116"/>
      </w:tblGrid>
      <w:tr>
        <w:trPr>
          <w:tblHeader/>
        </w:trPr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Nulos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% aprox. sobre 421.046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vida_util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412.082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~97.9%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observaciones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397.045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~94.3%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clasificacion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922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~0.2%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subclasificacion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922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~0.2%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tipoextraccion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614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~0.15%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tipoestado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614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~0.15%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tipopozo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614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~0.15%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sub_tipo_recurso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~0.1%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5.3 Anomalías detectadas (diagnóstico inicial)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Profundidad: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rango observado de 0 a 378.939 (unidad esperada: metros). 122 registros superan los 10.000, lo cual es físicamente imposible para un pozo real.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Producción negativa: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1 registro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negativo y 2 con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prod_gas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negativo, sobre 421.046 filas — volumen insignificante pero sin sentido físico.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6.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notebooks/01_eda_limpieza.ipynb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 — EDA visual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construyó el notebook de EDA para visualizar las anomalías antes de decidir cómo tratarlas. Estructura: carga de datos (reutilizando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data_loader.py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gráfico de % de nulos por columna, histogramas 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profundidad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(completo y con zoom 1-10.000) con tabla de los 20 casos más extremos, histogramas y tabla de producción negativa, boxplots de las tres variables clave, y serie temporal de producción total anual.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Entorno: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se instalaron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matplotlib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seaborn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jupyter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ipykernel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dentro del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venv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se actualizó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requirements.txt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Hallazgos confirmados con los gráficos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Profundidad &gt;10.000 — un solo pozo, no ruido disperso: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los 122 registros sospechosos corresponden todos al mismo pozo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idpozo 156804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formación "lajas"), con el valor 378.939 repetido en cada uno de sus registros mensuales a lo largo de los años — es un error puntual de carga en origen, no un conjunto de outliers estadísticos independientes.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Profundidad = 0: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5.738 filas, pero correspondientes a </w:t>
      </w:r>
      <w:r>
        <w:rPr>
          <w:b/>
          <w:bCs/>
          <w:i w:val="false"/>
          <w:iCs w:val="false"/>
          <w:sz w:val="22"/>
          <w:szCs w:val="22"/>
        </w:rPr>
        <w:t xml:space="preserve">164 pozos distintos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— a diferencia del caso anterior, sí se trata como dato faltante genuino (el campo nunca se cargó para esos pozos).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Producción (`prod_pet`, `prod_gas`):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distribución fuertemente sesgada a la derecha, comportamiento esperado en datos de producción de hidrocarburos (muchos pozos de baja producción, pocos de alta). A tener en cuenta para aplicar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log1p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en el feature engineering.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Producción negativa: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las 3 filas confirmadas tienen magnitudes chicas (-12, -7, -0.001), consistentes con correcciones/rectificaciones cargadas con signo.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Serie temporal (datos crudos):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curva de crecimiento exponencial 2006-2025 esperable del boom de Vaca Muerta, pero con una </w:t>
      </w:r>
      <w:r>
        <w:rPr>
          <w:b/>
          <w:bCs/>
          <w:i w:val="false"/>
          <w:iCs w:val="false"/>
          <w:sz w:val="22"/>
          <w:szCs w:val="22"/>
        </w:rPr>
        <w:t xml:space="preserve">caída artificial en 2026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— el dataset todavía no tiene los 12 meses cargados para ese año (no es una caída real de producción).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7.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src/preprocessor.py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 — reglas de limpieza implementadas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Módulo con responsabilidad de transformación (a diferencia 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data_loader.py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que solo lee y valida). Cada función recibe un DataFrame y devuelve uno nuevo (sin modificar in-place), permitiendo encadenarlas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pipeline_preprocesamiento()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4675"/>
        <w:gridCol w:w="4675"/>
      </w:tblGrid>
      <w:tr>
        <w:trPr>
          <w:tblHeader/>
        </w:trPr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Regla aplicada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descartar_columnas_vacias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Elimina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vida_util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observaciones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(&gt;90% nulos)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imputar_categoricas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Imputa con la moda: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tipoextraccion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tipoestado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tipopozo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clasificacion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subclasificacion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sub_tipo_recurso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(nulos &lt;0.25%)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corregir_profundidad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Valores fuera del rango plausible (100–10.000) se tratan como faltantes y se imputan con la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mediana por formación geológica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(no mediana global, porque la profundidad varía según formación). Esta regla genérica resuelve tanto el caso del pozo 156804 como los 164 pozos con profundidad = 0, sin necesidad de excepciones manuales por ID.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corregir_produccion_negativa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Clipea a 0 los valores negativos 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prod_pet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prod_gas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marcar_anio_incompleto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Agrega columna booleana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anio_completo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poder excluir 2026 de análisis de tendencia anual, sin perder esas filas para el modelado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Verificación de resultados (antes / después)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3116"/>
        <w:gridCol w:w="3116"/>
        <w:gridCol w:w="3116"/>
      </w:tblGrid>
      <w:tr>
        <w:trPr>
          <w:tblHeader/>
        </w:trPr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Después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Shape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421.046 × 40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421.046 × 39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Nulos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profundidad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122 casos &gt;10.000 + 5.738 en 0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prod_pet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negativa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prod_gas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negativa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Filas marcadas año incompleto (2026)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34.386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Verificación visual (sección 8 del notebook)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El histograma 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profundidad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post-limpieza muestra una distribución realista concentrada entre 1.500 y 7.000, con pico en ~3.000 — sin rastro del valor erróneo de 378.939.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La serie temporal recalculada </w:t>
      </w:r>
      <w:r>
        <w:rPr>
          <w:b/>
          <w:bCs/>
          <w:i w:val="false"/>
          <w:iCs w:val="false"/>
          <w:sz w:val="22"/>
          <w:szCs w:val="22"/>
        </w:rPr>
        <w:t xml:space="preserve">excluyendo el año incompleto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muestra la curva de crecimiento limpia 2006-2025, sin la caída artificial de 2026.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Con esto, la Pre-Entrega 2 (EDA + limpieza) queda </w:t>
      </w:r>
      <w:r>
        <w:rPr>
          <w:b/>
          <w:bCs/>
          <w:i w:val="false"/>
          <w:iCs w:val="false"/>
          <w:sz w:val="22"/>
          <w:szCs w:val="22"/>
        </w:rPr>
        <w:t xml:space="preserve">cerrada y verificada tanto numérica como visualmente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8. Cambio de estilo de código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 partir de esta etapa, todo el código del proyecto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data_loader.py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preprocessor.py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los notebooks) se reescribió en un </w:t>
      </w:r>
      <w:r>
        <w:rPr>
          <w:b/>
          <w:bCs/>
          <w:i w:val="false"/>
          <w:iCs w:val="false"/>
          <w:sz w:val="22"/>
          <w:szCs w:val="22"/>
        </w:rPr>
        <w:t xml:space="preserve">estilo más simple y lineal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funciones únicas con pasos comentados en vez de múltiples funciones encadenadas con validaciones extensas. Se prioriza la legibilidad y la capacidad de explicar el código en la defensa oral, por sobre patrones más avanzados (type hints, manejo de excepciones, rutas independientes del directorio de ejecución). El comportamiento y los resultados numéricos son equivalentes a la versión anterior.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9.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notebooks/02_feature_engineering.ipynb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 — Variables derivadas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crearon variables nuevas sobre el dataset limpio, pensadas para darle al modelo información sobre el comportamiento de cada pozo a lo largo del tiempo: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4675"/>
        <w:gridCol w:w="4675"/>
      </w:tblGrid>
      <w:tr>
        <w:trPr>
          <w:tblHeader/>
        </w:trPr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467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antiguedad_meses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Número de mes de producción del pozo (1 = primer mes registrado)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prod_pet_mes_anterior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prod_gas_mes_anterior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Producción del mes anterior (lag), por pozo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declinacion_pet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declinacion_gas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% de variación respecto al mes anterior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ratio_gas_petroleo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Relación gas/petróleo del mes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prod_pet_acumulada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prod_gas_acumulada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Producción acumulada del pozo hasta ese mes</w:t>
            </w:r>
          </w:p>
        </w:tc>
      </w:tr>
      <w:tr>
        <w:trPr>
          <w:tblHeader w:val="false"/>
        </w:trP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formacion_cod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cuenca_cod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Codificación numérica de las variables categóricas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formacion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C0392B"/>
                <w:sz w:val="20"/>
                <w:szCs w:val="20"/>
                <w:shd w:fill="F0F0F0" w:val="clear"/>
              </w:rPr>
              <w:t xml:space="preserve">cuenca</w:t>
            </w:r>
          </w:p>
        </w:tc>
      </w:tr>
    </w:tbl>
    <w:p>
      <w:pPr>
        <w:spacing w:after="160"/>
      </w:pP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Verificación visual: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se graficó la curva de producción mensual y acumulada del pozo con más historia cargada, confirmando que la producción acumulada es siempre creciente (como corresponde a una suma acumulada) y que la curva mensual muestra el patrón esperable de un pozo no convencional. Se detectó un pico de producción puntual en ese pozo (posible reestimulación/refractura, o un pozo pre-boom de 2006 con comportamiento distinto al shale típico) — queda anotado como punto de atención para el modelado.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El resultado se guardó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data/processed/produccion_con_features.csv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para uso directo del notebook de modelado.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10.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notebooks/03_modelado_supervisado.ipynb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 — Regresión (predicción de </w:t>
      </w:r>
      <w:r>
        <w:rPr>
          <w:rFonts w:ascii="Consolas" w:cs="Consolas" w:eastAsia="Consolas" w:hAnsi="Consolas"/>
          <w:b/>
          <w:bCs/>
          <w:color w:val="1F3864"/>
          <w:sz w:val="30"/>
          <w:szCs w:val="30"/>
        </w:rPr>
        <w:t xml:space="preserve">prod_pet</w:t>
      </w:r>
      <w:r>
        <w:rPr>
          <w:b/>
          <w:bCs/>
          <w:i w:val="false"/>
          <w:iCs w:val="false"/>
          <w:color w:val="1F3864"/>
          <w:sz w:val="30"/>
          <w:szCs w:val="30"/>
        </w:rPr>
        <w:t xml:space="preserve">)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10.1 Diseño del experimento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Variable objetivo: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(producción mensual de petróleo por pozo).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Modelo: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XGBoost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XGBRegressor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parámetros base sin optimizar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n_estimators=200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max_depth=5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learning_rate=0.1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/>
          <w:bCs/>
          <w:i w:val="false"/>
          <w:iCs w:val="false"/>
          <w:sz w:val="22"/>
          <w:szCs w:val="22"/>
        </w:rPr>
        <w:t xml:space="preserve">Separación train/test respetando el tiempo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(no aleatoria): entrenamiento con años anteriores a 2024, prueba con 2024-2025 — simula la situación real de predecir producción futura, no interpolar el pasado.</w:t>
      </w:r>
    </w:p>
    <w:p>
      <w:pPr>
        <w:spacing w:after="100"/>
        <w:ind w:left="300"/>
      </w:pPr>
      <w:r>
        <w:rPr>
          <w:b/>
          <w:bCs/>
          <w:color w:val="1F3864"/>
          <w:sz w:val="22"/>
          <w:szCs w:val="22"/>
        </w:rPr>
        <w:t xml:space="preserve">•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Se excluyeron del entrenamiento: el primer mes de cada pozo (sin "mes anterior" disponible) y el año 2026 (incompleto).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10.2 Iteración 1 — Modelo base (7 features)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Features: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antiguedad_meses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prod_gas_mes_anterior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ratio_gas_petroleo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profundidad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formacion_cod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cuenca_cod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Resultado: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MAE 195.11 — RMSE 520.31 — R² 0.853. El gráfico de real vs. predicho mostró buen ajuste en el rango bajo-medio de producción, pero </w:t>
      </w:r>
      <w:r>
        <w:rPr>
          <w:b/>
          <w:bCs/>
          <w:i w:val="false"/>
          <w:iCs w:val="false"/>
          <w:sz w:val="22"/>
          <w:szCs w:val="22"/>
        </w:rPr>
        <w:t xml:space="preserve">subestimación sistemática de los pozos con picos de producción muy altos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(&gt;10.000).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concentró más del 90% de la importancia del modelo.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10.3 Iteración 2 — Fuga de datos detectada y descartada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intentó agregar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(variación % respecto al mes </w:t>
      </w:r>
      <w:r>
        <w:rPr>
          <w:b/>
          <w:bCs/>
          <w:i w:val="false"/>
          <w:iCs w:val="false"/>
          <w:sz w:val="22"/>
          <w:szCs w:val="22"/>
        </w:rPr>
        <w:t xml:space="preserve">actual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 como feature, buscando mejorar la detección de picos. El R² subió a </w:t>
      </w:r>
      <w:r>
        <w:rPr>
          <w:b/>
          <w:bCs/>
          <w:i w:val="false"/>
          <w:iCs w:val="false"/>
          <w:sz w:val="22"/>
          <w:szCs w:val="22"/>
        </w:rPr>
        <w:t xml:space="preserve">0.978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un salto sospechosamente alto.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Diagnóstico: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se calcula como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(prod_pet - prod_pet_mes_anterior) / 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— la variable objetivo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 queda embebida en la fórmula de una de las features. Combinando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el valor 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se puede despejar algebraicamente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 = prod_pet_mes_anterior × (1 + declinacion_pet)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por lo que el modelo no estaba prediciendo: estaba recibiendo la respuesta disfrazada. Se confirmó el diagnóstico observando que, pese al R² casi perfecto, el error en los picos altos (&gt;10.000) seguía siendo grande (2.580 de error promedio) — si la mejora fuera real, ese error también debería haber bajado.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Esta versión fue descartada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no es utilizable en producción, ya que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no puede calcularse en el momento de predecir (requiere conocer de antemano el dato que se busca estimar).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10.4 Iteración 3 — Modelo corregido (8 features)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reemplazó la variable con fuga de datos por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(declinación calculada con el mes anterior al anterior, es decir, información ya conocida al momento de predecir — sin fuga).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Resultado: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MAE 163.33 — RMSE 445.42 — R² 0.885. Mejora </w:t>
      </w:r>
      <w:r>
        <w:rPr>
          <w:b/>
          <w:bCs/>
          <w:i w:val="false"/>
          <w:iCs w:val="false"/>
          <w:sz w:val="22"/>
          <w:szCs w:val="22"/>
        </w:rPr>
        <w:t xml:space="preserve">real y modesta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respecto al modelo base (R² +0.032), consistente con una variable que aporta señal genuina sin “ver” el futuro.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aparece como tercera variable en importancia (por detrás de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antiguedad_meses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sin dominar el modelo como ocurría con la versión con fuga. </w:t>
      </w:r>
      <w:r>
        <w:rPr>
          <w:b/>
          <w:bCs/>
          <w:i w:val="false"/>
          <w:iCs w:val="false"/>
          <w:sz w:val="22"/>
          <w:szCs w:val="22"/>
        </w:rPr>
        <w:t xml:space="preserve">El problema de subestimación de picos altos (&gt;10.000) persistía.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10.5 Iteración 4 — Máximo histórico del pozo (descartada)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Se agregó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prod_pet_maxima_anterior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(máximo histórico de producción del pozo, calculado solo con datos hasta el mes anterior — sin fuga), buscando que el modelo reconociera qué pozos tienen antecedentes de picos altos.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Resultado: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MAE 165.63 — RMSE 444.47 — R² 0.885. Prácticamente idéntico al modelo anterior; el gráfico de importancia de variables mostró que el modelo casi no utilizó esta variable. </w:t>
      </w:r>
      <w:r>
        <w:rPr>
          <w:b/>
          <w:bCs/>
          <w:i w:val="false"/>
          <w:iCs w:val="false"/>
          <w:sz w:val="22"/>
          <w:szCs w:val="22"/>
        </w:rPr>
        <w:t xml:space="preserve">Descartada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por no aportar mejora real, priorizando un modelo más simple.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10.6 Iteración 5 — Log-transform del objetivo (descartada)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En vez de agregar otra variable, se probó entrenar el modelo sobre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log(1 + prod_pet)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en lugar del valor directo — una técnica estándar para atenuar el efecto de distribuciones muy sesgadas sobre el error cuadrático de entrenamiento.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Resultado: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MAE 163.09 — RMSE 501.67 — R² 0.854. El RMSE empeoró notablemente y el error en picos altos subió a 6.028 (peor que las versiones anteriores). El gráfico de real vs. predicho reveló el motivo: al revertir el logaritmo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expm1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pequeños errores en escala logarítmica se amplifican exponencialmente, generando </w:t>
      </w:r>
      <w:r>
        <w:rPr>
          <w:b/>
          <w:bCs/>
          <w:i w:val="false"/>
          <w:iCs w:val="false"/>
          <w:sz w:val="22"/>
          <w:szCs w:val="22"/>
        </w:rPr>
        <w:t xml:space="preserve">sobreestimaciones extremas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(predicciones de hasta 35.000 para pozos que producían realmente 7.000-10.000). </w:t>
      </w:r>
      <w:r>
        <w:rPr>
          <w:b/>
          <w:bCs/>
          <w:i w:val="false"/>
          <w:iCs w:val="false"/>
          <w:sz w:val="22"/>
          <w:szCs w:val="22"/>
        </w:rPr>
        <w:t xml:space="preserve">Descartada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por introducir un problema nuevo y más grave que el que buscaba resolver.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10.7 Iteración 6 — Comparación XGBoost vs. LightGBM (consigna original)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La Pre-Entrega 1 especificaba entrenar y </w:t>
      </w:r>
      <w:r>
        <w:rPr>
          <w:b/>
          <w:bCs/>
          <w:i w:val="false"/>
          <w:iCs w:val="false"/>
          <w:sz w:val="22"/>
          <w:szCs w:val="22"/>
        </w:rPr>
        <w:t xml:space="preserve">comparar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modelos de regresión (XGBoost / LightGBM), no quedarse con uno solo. Se entrenó LightGBM con las mismas 8 features, el mismo split temporal (train &lt;2024, test 2024-2025) y parámetros equivalentes, para una comparación justa.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3116"/>
        <w:gridCol w:w="3116"/>
        <w:gridCol w:w="3116"/>
      </w:tblGrid>
      <w:tr>
        <w:trPr>
          <w:tblHeader/>
        </w:trPr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XGBoost</w:t>
            </w:r>
          </w:p>
        </w:tc>
        <w:tc>
          <w:tcPr>
            <w:tcW w:type="dxa" w:w="3116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LightGBM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MAE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163.33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163.86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RMSE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445.42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439.34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R²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0.885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0.888</w:t>
            </w:r>
          </w:p>
        </w:tc>
      </w:tr>
      <w:tr>
        <w:trPr>
          <w:tblHeader w:val="false"/>
        </w:trP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Error en picos altos (&gt;10.000)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5.153.7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4.998.2</w:t>
            </w:r>
          </w:p>
        </w:tc>
      </w:tr>
    </w:tbl>
    <w:p>
      <w:pPr>
        <w:spacing w:after="160"/>
      </w:pP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Resultado: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empate técnico, con una ventaja marginal pero consistente de LightGBM en 3 de las 4 métricas. Se adopta </w:t>
      </w:r>
      <w:r>
        <w:rPr>
          <w:b/>
          <w:bCs/>
          <w:i w:val="false"/>
          <w:iCs w:val="false"/>
          <w:sz w:val="22"/>
          <w:szCs w:val="22"/>
        </w:rPr>
        <w:t xml:space="preserve">LightGBM como modelo principal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models/modelo_produccion_pet.joblib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), conservando ambos modelos por separado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..._xgboost.joblib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..._lightgbm.joblib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 para trazabilidad.</w:t>
      </w:r>
    </w:p>
    <w:p>
      <w:pPr>
        <w:spacing w:after="160"/>
        <w:jc w:val="both"/>
      </w:pPr>
      <w:r>
        <w:rPr>
          <w:b/>
          <w:bCs/>
          <w:i w:val="false"/>
          <w:iCs w:val="false"/>
          <w:sz w:val="22"/>
          <w:szCs w:val="22"/>
        </w:rPr>
        <w:t xml:space="preserve">Nota metodológica sobre el gráfico de importancia de variables: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los gráficos de importancia de XGBoost (escala 0-1, basada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gain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 y LightGBM (escala 0-1000, basada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split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por defecto) usan métricas distintas y no son directamente comparables entre sí — la diferencia de escala no implica que un modelo haya "entendido mejor" los datos que el otro. Ambos coinciden en que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prod_pet_mes_anterior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es la variable dominante.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10.8 Modelo final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Tras 5 iteraciones sobre el modelo base, la combinación ganadora es </w:t>
      </w:r>
      <w:r>
        <w:rPr>
          <w:b/>
          <w:bCs/>
          <w:i w:val="false"/>
          <w:iCs w:val="false"/>
          <w:sz w:val="22"/>
          <w:szCs w:val="22"/>
        </w:rPr>
        <w:t xml:space="preserve">LightGBM con las 8 features de la Iteración 3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declinacion_pet_anterior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incluida, sin log-transform ni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prod_pet_maxima_anterior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) — la mejor combinación de métricas entre todas las versiones probadas.</w:t>
      </w: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10.9 Tabla comparativa completa</w:t>
      </w:r>
    </w:p>
    <w:tbl>
      <w:tblPr>
        <w:tblW w:type="dxa" w:w="935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9D9D9" w:sz="2"/>
          <w:insideV w:val="single" w:color="D9D9D9" w:sz="2"/>
        </w:tblBorders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>
        <w:trPr>
          <w:tblHeader/>
        </w:trPr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Base (7 features)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 fuga (descartado)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+ máxima histórica (descartado)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Log-transform (descartado)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XGBoost (8 features)</w:t>
            </w:r>
          </w:p>
        </w:tc>
        <w:tc>
          <w:tcPr>
            <w:tcW w:type="dxa" w:w="1335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LightGBM FINAL (8 features)</w:t>
            </w:r>
          </w:p>
        </w:tc>
      </w:tr>
      <w:tr>
        <w:trPr>
          <w:tblHeader w:val="false"/>
        </w:trPr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MAE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195.11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38.86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165.63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163.09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163.33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163.86</w:t>
            </w:r>
          </w:p>
        </w:tc>
      </w:tr>
      <w:tr>
        <w:trPr>
          <w:tblHeader w:val="false"/>
        </w:trPr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RMSE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520.31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204.07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444.47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501.67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445.42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439.34</w:t>
            </w:r>
          </w:p>
        </w:tc>
      </w:tr>
      <w:tr>
        <w:trPr>
          <w:tblHeader w:val="false"/>
        </w:trPr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R²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0.853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0.978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0.885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0.854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0.885</w:t>
            </w:r>
          </w:p>
        </w:tc>
        <w:tc>
          <w:tcPr>
            <w:tcW w:type="dxa" w:w="13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0.888</w:t>
            </w:r>
          </w:p>
        </w:tc>
      </w:tr>
    </w:tbl>
    <w:p>
      <w:pPr>
        <w:spacing w:after="160"/>
      </w:pPr>
    </w:p>
    <w:p>
      <w:pPr>
        <w:pStyle w:val="Heading2"/>
        <w:spacing w:after="140" w:before="280"/>
      </w:pPr>
      <w:r>
        <w:rPr>
          <w:b/>
          <w:bCs/>
          <w:i w:val="false"/>
          <w:iCs w:val="false"/>
          <w:color w:val="2E5395"/>
          <w:sz w:val="24"/>
          <w:szCs w:val="24"/>
        </w:rPr>
        <w:t xml:space="preserve">10.10 Limitación conocida (aceptada)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En todas las versiones válidas (XGBoost y LightGBM por igual), el modelo </w:t>
      </w:r>
      <w:r>
        <w:rPr>
          <w:b/>
          <w:bCs/>
          <w:i w:val="false"/>
          <w:iCs w:val="false"/>
          <w:sz w:val="22"/>
          <w:szCs w:val="22"/>
        </w:rPr>
        <w:t xml:space="preserve">subestima los pozos con picos de producción muy altos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(posibles eventos de reestimulación/refractura). Se probaron tres enfoques distintos para resolverlo (una variable nueva, un cambio de objetivo de entrenamiento, y un segundo algoritmo) y ninguno lo resolvió de fondo — uno incluso lo empeoró de forma más grave. Esto sugiere que el problema no es de ingeniería sobre los datos disponibles ni de elección de algoritmo, sino de </w:t>
      </w:r>
      <w:r>
        <w:rPr>
          <w:b/>
          <w:bCs/>
          <w:i w:val="false"/>
          <w:iCs w:val="false"/>
          <w:sz w:val="22"/>
          <w:szCs w:val="22"/>
        </w:rPr>
        <w:t xml:space="preserve">ausencia de una variable que el dataset no incluye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(por ejemplo, si se programó una intervención en el pozo). Se documenta como limitación conocida y se avanza con evidencia en mano, en vez de continuar iterando sin garantía de mejora.</w:t>
      </w:r>
    </w:p>
    <w:p>
      <w:pPr>
        <w:spacing w:after="1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El modelo final (LightGBM) se guardó en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models/modelo_produccion_pet.joblib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Bdr>
          <w:bottom w:val="single" w:color="1F3864" w:sz="6" w:space="4"/>
        </w:pBdr>
        <w:spacing w:after="200" w:before="100"/>
      </w:pPr>
    </w:p>
    <w:p>
      <w:pPr>
        <w:pStyle w:val="Heading1"/>
        <w:pBdr>
          <w:bottom w:val="single" w:color="9DB3D6" w:sz="4" w:space="4"/>
        </w:pBdr>
        <w:spacing w:after="180" w:before="360"/>
      </w:pPr>
      <w:r>
        <w:rPr>
          <w:b/>
          <w:bCs/>
          <w:i w:val="false"/>
          <w:iCs w:val="false"/>
          <w:color w:val="1F3864"/>
          <w:sz w:val="30"/>
          <w:szCs w:val="30"/>
        </w:rPr>
        <w:t xml:space="preserve">11. Próximos pasos</w:t>
      </w:r>
    </w:p>
    <w:p>
      <w:pPr>
        <w:spacing w:after="120"/>
        <w:ind w:left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rFonts w:ascii="Consolas" w:cs="Consolas" w:eastAsia="Consolas" w:hAnsi="Consolas"/>
          <w:b w:val="false"/>
          <w:bCs w:val="false"/>
          <w:color w:val="C0392B"/>
          <w:sz w:val="20"/>
          <w:szCs w:val="20"/>
          <w:shd w:fill="F0F0F0" w:val="clear"/>
        </w:rPr>
        <w:t xml:space="preserve">notebooks/04_modelado_no_supervisado_dl.ipynb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: clustering (K-Means) de pozos según su curva de producción/declinación — potencialmente informado por los pozos con picos que el modelo supervisado no logra predecir bien.</w:t>
      </w:r>
    </w:p>
    <w:p>
      <w:pPr>
        <w:spacing w:after="120"/>
        <w:ind w:left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Evaluar una ronda de optimización de hiperparámetros (Optuna) y explicabilidad (SHAP) sobre el modelo de regresión, si el cronograma lo permite.</w:t>
      </w:r>
    </w:p>
    <w:p>
      <w:pPr>
        <w:spacing w:after="120"/>
        <w:ind w:left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Entrega Final: API en FastAPI, Dockerfile y documentación completa en README.md.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Página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C8C8C"/>
        <w:sz w:val="16"/>
        <w:szCs w:val="16"/>
      </w:rPr>
      <w:t xml:space="preserve">Proyecto Final Data Science — YPF / Vaca Muerta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2026-09-30T22:20:06.939Z</dcterms:created>
  <dcterms:modified xsi:type="dcterms:W3CDTF">2026-09-30T22:20:06.940Z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