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Avance</w:t>
      </w:r>
    </w:p>
    <w:p>
      <w:r>
        <w:rPr>
          <w:i/>
          <w:sz w:val="24"/>
        </w:rPr>
        <w:t>Proyecto Final Data Science — Producción No Convencional, Cuenca Neuquina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Alumnos</w:t>
            </w:r>
          </w:p>
        </w:tc>
        <w:tc>
          <w:tcPr>
            <w:tcW w:type="dxa" w:w="6860"/>
          </w:tcPr>
          <w:p>
            <w:r/>
            <w:r>
              <w:rPr>
                <w:sz w:val="19"/>
              </w:rPr>
              <w:t>Cristian Alejandro Aguilera, Abigail Roxana Vicentelo, Ian Lionel Tapias Díaz</w:t>
            </w:r>
          </w:p>
        </w:tc>
      </w:tr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Programa</w:t>
            </w:r>
          </w:p>
        </w:tc>
        <w:tc>
          <w:tcPr>
            <w:tcW w:type="dxa" w:w="6860"/>
          </w:tcPr>
          <w:p>
            <w:r/>
            <w:r>
              <w:rPr>
                <w:sz w:val="19"/>
              </w:rPr>
              <w:t>Data Science — Energía Digital 2026 (Fundación YPF - Jump)</w:t>
            </w:r>
          </w:p>
        </w:tc>
      </w:tr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Repositorio GitHub</w:t>
            </w:r>
          </w:p>
        </w:tc>
        <w:tc>
          <w:tcPr>
            <w:tcW w:type="dxa" w:w="6860"/>
          </w:tcPr>
          <w:p>
            <w:r/>
            <w:r>
              <w:rPr>
                <w:sz w:val="19"/>
              </w:rPr>
              <w:t>https://github.com/cristian-aguilera-ing/proyecto-ds-ypf.git</w:t>
            </w:r>
          </w:p>
        </w:tc>
      </w:tr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Versión</w:t>
            </w:r>
          </w:p>
        </w:tc>
        <w:tc>
          <w:tcPr>
            <w:tcW w:type="dxa" w:w="6860"/>
          </w:tcPr>
          <w:p>
            <w:r>
              <w:t>Versión 2 — Cuenca Neuquina, petróleo y gas (actualizado al 28 de octubre de 2026)</w:t>
            </w: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1. Estado actual</w:t>
      </w:r>
    </w:p>
    <w:p>
      <w:r>
        <w:t>La versión 2 del proyecto está completa e integrada en main: datos limpios, cuatro modelos supervisados, clustering, explicabilidad, API, frontend con dashboard de métricas, Docker Compose, 28 tests y documentación. Además se atendieron las dos recomendaciones de la devolución de la pre-entrega.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402"/>
            <w:shd w:val="clear" w:color="auto" w:fill="E8EEF6"/>
          </w:tcPr>
          <w:p>
            <w:r/>
            <w:r>
              <w:rPr>
                <w:b/>
                <w:sz w:val="19"/>
              </w:rPr>
              <w:t>Etapa</w:t>
            </w:r>
          </w:p>
        </w:tc>
        <w:tc>
          <w:tcPr>
            <w:tcW w:type="dxa" w:w="1701"/>
            <w:shd w:val="clear" w:color="auto" w:fill="E8EEF6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4309"/>
            <w:shd w:val="clear" w:color="auto" w:fill="E8EEF6"/>
          </w:tcPr>
          <w:p>
            <w:r/>
            <w:r>
              <w:rPr>
                <w:b/>
                <w:sz w:val="19"/>
              </w:rPr>
              <w:t>Entregable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Pre-Entrega 1 — definición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Cerrada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docs/Pre_Entrega_1_YPF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Pre-Entrega 2 — EDA y limpieza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Cerrada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notebooks 01 y 02, src/ypf_ds/data/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Pre-Entrega 3 — supervisado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Cerrada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notebook 03, src/ypf_ds/models/train.py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Pre-Entrega 4 — no supervisado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Cerrada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notebook 04, src/ypf_ds/models/cluster.py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Explicabilidad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Cerrada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notebook 05 y SHAP por predicción en la API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Entrega final — API, frontend y Docker</w:t>
            </w:r>
          </w:p>
        </w:tc>
        <w:tc>
          <w:tcPr>
            <w:tcW w:type="dxa" w:w="1701"/>
          </w:tcPr>
          <w:p>
            <w:r>
              <w:t>Funcionando</w:t>
            </w:r>
            <w:r>
              <w:rPr>
                <w:sz w:val="19"/>
              </w:rPr>
            </w:r>
          </w:p>
        </w:tc>
        <w:tc>
          <w:tcPr>
            <w:tcW w:type="dxa" w:w="4309"/>
          </w:tcPr>
          <w:p>
            <w:r>
              <w:t>api/, frontend/ (3 pestañas, dashboard de métricas), compose.yaml</w:t>
            </w: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Tests automáticos</w:t>
            </w:r>
          </w:p>
        </w:tc>
        <w:tc>
          <w:tcPr>
            <w:tcW w:type="dxa" w:w="1701"/>
          </w:tcPr>
          <w:p>
            <w:r>
              <w:t>28 tests pasan</w:t>
            </w:r>
            <w:r>
              <w:rPr>
                <w:sz w:val="19"/>
              </w:rPr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tests/</w:t>
            </w:r>
          </w:p>
        </w:tc>
      </w:tr>
      <w:tr>
        <w:tc>
          <w:tcPr>
            <w:tcW w:type="dxa" w:w="3402"/>
          </w:tcPr>
          <w:p>
            <w:r>
              <w:t>Devolución de la pre-entrega</w:t>
            </w: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>
              <w:t>Atendida</w:t>
            </w:r>
            <w:r>
              <w:rPr>
                <w:sz w:val="19"/>
              </w:rPr>
            </w:r>
          </w:p>
        </w:tc>
        <w:tc>
          <w:tcPr>
            <w:tcW w:type="dxa" w:w="4309"/>
          </w:tcPr>
          <w:p>
            <w:r>
              <w:t>Validación de coordenadas y memoria de la API</w:t>
            </w: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Presentación oral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Pendiente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2. Qué cambió de la versión 1 a la versión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E8EEF6"/>
          </w:tcPr>
          <w:p>
            <w:r/>
            <w:r>
              <w:rPr>
                <w:b/>
                <w:sz w:val="19"/>
              </w:rPr>
              <w:t>Aspecto</w:t>
            </w:r>
          </w:p>
        </w:tc>
        <w:tc>
          <w:tcPr>
            <w:tcW w:type="dxa" w:w="2835"/>
            <w:shd w:val="clear" w:color="auto" w:fill="E8EEF6"/>
          </w:tcPr>
          <w:p>
            <w:r/>
            <w:r>
              <w:rPr>
                <w:b/>
                <w:sz w:val="19"/>
              </w:rPr>
              <w:t>Versión 1</w:t>
            </w:r>
          </w:p>
        </w:tc>
        <w:tc>
          <w:tcPr>
            <w:tcW w:type="dxa" w:w="4309"/>
            <w:shd w:val="clear" w:color="auto" w:fill="E8EEF6"/>
          </w:tcPr>
          <w:p>
            <w:r/>
            <w:r>
              <w:rPr>
                <w:b/>
                <w:sz w:val="19"/>
              </w:rPr>
              <w:t>Versión 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Población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4 cuencas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Solo Cuenca Neuquina (96 % de los datos)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Fluidos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Solo petróleo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Petróleo y gas, con modelos separados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Horizonte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 mes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1 a 12 meses (pozo existente) y 24 meses (pozo nuevo)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Pozo nuevo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Curva tipo desde atributos conocidos antes de perforar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Incertidumbre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Bandas P10–P90 con regresión por cuantiles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Baselines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Repetir el mes anterior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Persistencia, curva de declinación Arps y curva mediana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Datos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pandas, CSV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Polars + DuckDB, Parquet; grilla mensual continua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Algoritmos comparados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XGBoost y LightGBM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Ridge, árbol, KNN, Random Forest, MLP, XGBoost y LightGBM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Clustering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4 variables resumen, K-Means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Forma de curva + SVD, K-Means vs DBSCAN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Seguimiento de experimentos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MLflow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Formulario de pruebas</w:t>
            </w:r>
          </w:p>
        </w:tc>
        <w:tc>
          <w:tcPr>
            <w:tcW w:type="dxa" w:w="4309"/>
          </w:tcPr>
          <w:p>
            <w:r>
              <w:t>Tres pestañas (existente, nuevo y métricas), gráficos con bandas, SHAP, cluster, avisos, guía de lectura y modo claro / oscuro</w:t>
            </w:r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Tests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4309"/>
          </w:tcPr>
          <w:p>
            <w:r>
              <w:t>28 tests (limpieza, ausencia de fuga, API y validación de entradas)</w:t>
            </w: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Resultados principales (test 2024–2025)</w:t>
      </w:r>
    </w:p>
    <w:p>
      <w:pPr>
        <w:pStyle w:val="ListBullet"/>
      </w:pPr>
      <w:r>
        <w:t>Pozo existente, petróleo: R² 0,730 (persistencia 0,246); a 1 mes R² 0,889, a 12 meses 0,630.</w:t>
      </w:r>
    </w:p>
    <w:p>
      <w:pPr>
        <w:pStyle w:val="ListBullet"/>
      </w:pPr>
      <w:r>
        <w:t>Pozo existente, gas: R² 0,779 (persistencia 0,536).</w:t>
      </w:r>
    </w:p>
    <w:p>
      <w:pPr>
        <w:pStyle w:val="ListBullet"/>
      </w:pPr>
      <w:r>
        <w:t>Backtest a 12 meses desde diciembre 2023: WAPE 0,357 contra 0,583 de Arps (petróleo).</w:t>
      </w:r>
    </w:p>
    <w:p>
      <w:pPr>
        <w:pStyle w:val="ListBullet"/>
      </w:pPr>
      <w:r>
        <w:t>Pozo nuevo, acumulada 12 meses: R² 0,448 en petróleo y 0,860 en gas, contra -0,282 y 0,724 de la curva mediana.</w:t>
      </w:r>
    </w:p>
    <w:p>
      <w:pPr>
        <w:pStyle w:val="ListBullet"/>
      </w:pPr>
      <w:r>
        <w:t>Con el mismo alcance que la v1 (1 mes, petróleo): R² 0,906, equivalente al 0,907 de la v1.</w:t>
      </w:r>
    </w:p>
    <w:p>
      <w:pPr>
        <w:pStyle w:val="Heading1"/>
      </w:pPr>
      <w:r>
        <w:t>4. Decisiones técnicas relevantes</w:t>
      </w:r>
    </w:p>
    <w:p>
      <w:pPr>
        <w:pStyle w:val="ListBullet"/>
      </w:pPr>
      <w:r>
        <w:rPr>
          <w:b/>
        </w:rPr>
        <w:t xml:space="preserve">Target en volumen: </w:t>
      </w:r>
      <w:r>
        <w:t>modelar en log subestimaba la producción total en ~19–25 %; se pasó a minimizar el error en m³.</w:t>
      </w:r>
    </w:p>
    <w:p>
      <w:pPr>
        <w:pStyle w:val="ListBullet"/>
      </w:pPr>
      <w:r>
        <w:rPr>
          <w:b/>
        </w:rPr>
        <w:t xml:space="preserve">Validación estrictamente temporal: </w:t>
      </w:r>
      <w:r>
        <w:t>train ≤ 2022, validación 2023, test 2024–2025; en el modo B, por año de inicio del pozo.</w:t>
      </w:r>
    </w:p>
    <w:p>
      <w:pPr>
        <w:pStyle w:val="ListBullet"/>
      </w:pPr>
      <w:r>
        <w:rPr>
          <w:b/>
        </w:rPr>
        <w:t xml:space="preserve">Capítulo IV: </w:t>
      </w:r>
      <w:r>
        <w:t>integrado en la limpieza; sus variables se evalúan en cada entrenamiento y hoy no se usan porque no mejoran la validación.</w:t>
      </w:r>
    </w:p>
    <w:p>
      <w:pPr>
        <w:pStyle w:val="ListBullet"/>
      </w:pPr>
      <w:r>
        <w:rPr>
          <w:b/>
        </w:rPr>
        <w:t xml:space="preserve">Honestidad de la comparación: </w:t>
      </w:r>
      <w:r>
        <w:t>Random Forest empata con LightGBM en la muestra; se eligió LightGBM por escala, cuantiles y pesos, y se documentó.</w:t>
      </w:r>
    </w:p>
    <w:p>
      <w:pPr>
        <w:pStyle w:val="Heading1"/>
      </w:pPr>
      <w:r>
        <w:rPr>
          <w:b/>
        </w:rPr>
        <w:t>5. Mejoras posteriores a la devolución</w:t>
      </w:r>
    </w:p>
    <w:p>
      <w:pPr>
        <w:pStyle w:val="ListBullet"/>
      </w:pPr>
      <w:r>
        <w:rPr>
          <w:b/>
        </w:rPr>
        <w:t xml:space="preserve">Validación de coordenadas: </w:t>
      </w:r>
      <w:r>
        <w:rPr>
          <w:b w:val="0"/>
        </w:rPr>
        <w:t>la API rechaza pozos nuevos fuera de la Cuenca Neuquina (lat −40 a −34, lon −70,5 a −67, a partir de los pozos reales con medio grado de margen) y avisa si el pozo queda a más de 50 km del área elegida.</w:t>
      </w:r>
    </w:p>
    <w:p>
      <w:pPr>
        <w:pStyle w:val="ListBullet"/>
      </w:pPr>
      <w:r>
        <w:rPr>
          <w:b/>
        </w:rPr>
        <w:t xml:space="preserve">Memoria de la API: </w:t>
      </w:r>
      <w:r>
        <w:rPr>
          <w:b w:val="0"/>
        </w:rPr>
        <w:t>medida con docker stats, bajó de 921 MB a 336 MB. Los .joblib pesan 7,4 MB y no eran la causa; el consumo venía de usar 2 workers de uvicorn (cada uno con su copia de modelos y datos) y de los hilos de Polars al leer el panel. Se dejó 1 worker, Polars con 2 hilos y un tope de 1 GB.</w:t>
      </w:r>
    </w:p>
    <w:p>
      <w:pPr>
        <w:pStyle w:val="ListBullet"/>
      </w:pPr>
      <w:r>
        <w:rPr>
          <w:b/>
        </w:rPr>
        <w:t xml:space="preserve">Frontend: </w:t>
      </w:r>
      <w:r>
        <w:rPr>
          <w:b w:val="0"/>
        </w:rPr>
        <w:t>rediseño con modo claro / oscuro, pestaña “Métricas del modelo” con 8 gráficos y una guía “Cómo leer este gráfico” junto a cada uno.</w:t>
      </w:r>
    </w:p>
    <w:p>
      <w:pPr>
        <w:pStyle w:val="ListBullet"/>
      </w:pPr>
      <w:r>
        <w:rPr>
          <w:b/>
        </w:rPr>
        <w:t xml:space="preserve">Correcciones: </w:t>
      </w:r>
      <w:r>
        <w:rPr>
          <w:b w:val="0"/>
        </w:rPr>
        <w:t>los pozos sin producción en su último mes ya no rompen la pantalla, y el ejemplo de la API usa un idpozo existente.</w:t>
      </w:r>
    </w:p>
    <w:p>
      <w:pPr>
        <w:pStyle w:val="Heading1"/>
      </w:pPr>
      <w:r>
        <w:t>6. Próximos pasos</w:t>
      </w:r>
    </w:p>
    <w:p>
      <w:pPr>
        <w:pStyle w:val="ListBullet"/>
      </w:pPr>
      <w:r>
        <w:t>Ensayar la demo con pozos de ejemplo: LCa-3039 (pozo existente) y un pozo nuevo en Loma Campana.</w:t>
      </w:r>
    </w:p>
    <w:p>
      <w:pPr>
        <w:pStyle w:val="ListBullet"/>
      </w:pPr>
      <w:r>
        <w:t>Presentación oral de 15 minutos con demo en vivo.</w:t>
      </w:r>
    </w:p>
    <w:p>
      <w:pPr>
        <w:pStyle w:val="ListBullet"/>
      </w:pPr>
      <w:r>
        <w:t>Opcional: deploy de la API en Render o Hugging Face Spaces.</w:t>
      </w:r>
    </w:p>
    <w:p>
      <w:pPr>
        <w:pStyle w:val="ListBullet"/>
      </w:pPr>
      <w:r>
        <w:t>Mejora futura: incorporar largo de rama lateral y etapas de fractura si se consiguen datos públicos.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5C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5CA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5CA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