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3864"/>
          <w:sz w:val="44"/>
          <w:szCs w:val="44"/>
        </w:rPr>
        <w:t xml:space="preserve">INFORME DE AVANCE</w:t>
      </w:r>
    </w:p>
    <w:p>
      <w:pPr>
        <w:spacing w:after="300"/>
        <w:jc w:val="center"/>
      </w:pPr>
      <w:r>
        <w:rPr>
          <w:b/>
          <w:bCs/>
          <w:color w:val="2E5395"/>
          <w:sz w:val="30"/>
          <w:szCs w:val="30"/>
        </w:rPr>
        <w:t xml:space="preserve">Proyecto Final Data Science — YPF / Vaca Muerta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Predicción y Optimización de la Producción de Hidrocarburos No Convencionales</w:t>
      </w:r>
    </w:p>
    <w:p>
      <w:pPr>
        <w:jc w:val="center"/>
      </w:pPr>
      <w:r>
        <w:rPr>
          <w:sz w:val="22"/>
          <w:szCs w:val="22"/>
        </w:rPr>
        <w:t xml:space="preserve">Período: 3 de septiembre al 10 de octubre de 2026</w:t>
      </w:r>
    </w:p>
    <w:p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 xml:space="preserve">Etapa actual: Modelado No Supervisado (clustering K-Means) — CERRADO, tras corregir una primera versión con outliers. Próximo paso: explicabilidad (SHAP) y Entrega Final.</w:t>
      </w:r>
    </w:p>
    <w:p>
      <w:r>
        <w:br w:type="page"/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1. Objetivo del proyecto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Predecir la curva de producción acumulada mensual de petróleo y gas en pozos no convencionales (shale/tight) de la cuenca Neuquina, a partir de parámetros geológicos y de completación, usando regresión supervisada (XGBoost / LightGBM) y clustering no supervisado (K-Means) para agrupar pozos según su curva de declinación.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2. Fuente de datos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identificó y descargó el dataset oficial de la </w:t>
      </w:r>
      <w:r>
        <w:rPr>
          <w:b/>
          <w:bCs/>
          <w:i w:val="false"/>
          <w:iCs w:val="false"/>
          <w:sz w:val="22"/>
          <w:szCs w:val="22"/>
        </w:rPr>
        <w:t xml:space="preserve">Secretaría de Energía de la Nación Argentina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dentro del dataset "Producción de petróleo y gas por pozo (Capítulo IV)":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Archivo principal: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b w:val="false"/>
          <w:bCs w:val="false"/>
          <w:i/>
          <w:iCs/>
          <w:sz w:val="22"/>
          <w:szCs w:val="22"/>
        </w:rPr>
        <w:t xml:space="preserve">Producción de Pozos de Gas y Petróleo No Convencional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ya viene filtrado a pozos shale/tight, evitando tener que separarlos manualmente del resto del universo de pozos convencionales.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Archivo complementario: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b w:val="false"/>
          <w:bCs w:val="false"/>
          <w:i/>
          <w:iCs/>
          <w:sz w:val="22"/>
          <w:szCs w:val="22"/>
        </w:rPr>
        <w:t xml:space="preserve">Capítulo IV - Pozos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metadatos de pozos (se descargó pero, como se detalla más abajo, no resultó necesario para el cruce inicial).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Portal: https://datos.gob.ar/dataset/energia-produccion-petroleo-gas-por-pozo-capitulo-iv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Nota: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una primera exploración en Google Colab había mostrado solo 5.701 filas (2015-2018), lo cual resultó ser una muestra parcial. El archivo efectivamente cargado en el entorno de trabajo (VS Code) contiene el histórico completo.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3. Entorno de trabajo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Estructura de repositorio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creada según el estándar del curso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data/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notebooks/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src/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api/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models/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reports/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más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Dockerfile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requirements.txt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README.md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Entorno virtual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creado con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python3 -m venv venv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(Python 3.14.6, instalado vía Homebrew) para aislar las dependencias del sistema operativo.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venv/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agregado a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.gitignore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para no versionarlo.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Dependencias instaladas dentro del entorno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pandas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por el momento) y congeladas en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requirements.txt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pip freeze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4. </w:t>
      </w:r>
      <w:r>
        <w:rPr>
          <w:rFonts w:ascii="Consolas" w:cs="Consolas" w:eastAsia="Consolas" w:hAnsi="Consolas"/>
          <w:b/>
          <w:bCs/>
          <w:color w:val="1F3864"/>
          <w:sz w:val="30"/>
          <w:szCs w:val="30"/>
        </w:rPr>
        <w:t xml:space="preserve">src/data_loader.py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construyó el módulo de ingesta con responsabilidad única: </w:t>
      </w:r>
      <w:r>
        <w:rPr>
          <w:b/>
          <w:bCs/>
          <w:i w:val="false"/>
          <w:iCs w:val="false"/>
          <w:sz w:val="22"/>
          <w:szCs w:val="22"/>
        </w:rPr>
        <w:t xml:space="preserve">leer y validar los datos crudos, sin transformarlos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(esa tarea queda reservada a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preprocessor.py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Funciones implementadas: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`cargar_produccion_no_convencional()`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lee el CSV principal desde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data/raw/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valida que estén presentes las columnas mínimas esperadas por el resto del pipeline y falla con un error claro si no lo están (en vez de dejar que el problema aparezca más adelante en el modelado).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`cargar_capitulo_iv_pozos()`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lee el CSV complementario de metadatos de pozos, mismo criterio de validación.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`validar_calidad()`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función de diagnóstico que no modifica datos, solo reporta: duplicados, nulos por columna, rangos sospechosos de profundidad, producción negativa y cobertura temporal. Pensada como insumo directo para el EDA.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Decisión de diseño: las rutas se resuelven de forma relativa a la ubicación del script (no al directorio desde donde se ejecuta), evitando el problema de rutas absolutas que exige evitar la consigna de reproducibilidad del curso.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5. Resultados obtenidos hasta el momento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5.1 Dimensiones y cobertura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Filas totales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421.046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Columnas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Rango temporal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2006 – 2026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Duplicados (pozo-año-mes)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5.2 Columnas con valores nulos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Nulos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aprox. sobre 421.046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vida_util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412.082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~97.9%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observaciones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397.045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~94.3%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clasificacion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922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~0.2%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subclasificacion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922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~0.2%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tipoextraccion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614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~0.15%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tipoestado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614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~0.15%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tipopozo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614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~0.15%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sub_tipo_recurso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452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~0.1%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5.3 Anomalías detectadas (diagnóstico inicial)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Profundidad: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rango observado de 0 a 378.939 (unidad esperada: metros). 122 registros superan los 10.000, lo cual es físicamente imposible para un pozo real.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Producción negativa: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1 registro con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negativo y 2 con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prod_gas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negativo, sobre 421.046 filas — volumen insignificante pero sin sentido físico.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6. </w:t>
      </w:r>
      <w:r>
        <w:rPr>
          <w:rFonts w:ascii="Consolas" w:cs="Consolas" w:eastAsia="Consolas" w:hAnsi="Consolas"/>
          <w:b/>
          <w:bCs/>
          <w:color w:val="1F3864"/>
          <w:sz w:val="30"/>
          <w:szCs w:val="30"/>
        </w:rPr>
        <w:t xml:space="preserve">notebooks/01_eda_limpieza.ipynb</w:t>
      </w:r>
      <w:r>
        <w:rPr>
          <w:b/>
          <w:bCs/>
          <w:i w:val="false"/>
          <w:iCs w:val="false"/>
          <w:color w:val="1F3864"/>
          <w:sz w:val="30"/>
          <w:szCs w:val="30"/>
        </w:rPr>
        <w:t xml:space="preserve"> — EDA visual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construyó el notebook de EDA para visualizar las anomalías antes de decidir cómo tratarlas. Estructura: carga de datos (reutilizando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data_loader.py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gráfico de % de nulos por columna, histogramas de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profundidad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(completo y con zoom 1-10.000) con tabla de los 20 casos más extremos, histogramas y tabla de producción negativa, boxplots de las tres variables clave, y serie temporal de producción total anual.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Entorno: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se instalaron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matplotlib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seaborn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jupyter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ipykernel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dentro del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venv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se actualizó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requirements.txt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Hallazgos confirmados con los gráficos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Profundidad &gt;10.000 — un solo pozo, no ruido disperso: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los 122 registros sospechosos corresponden todos al mismo pozo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idpozo 156804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formación "lajas"), con el valor 378.939 repetido en cada uno de sus registros mensuales a lo largo de los años — es un error puntual de carga en origen, no un conjunto de outliers estadísticos independientes.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Profundidad = 0: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5.738 filas, pero correspondientes a </w:t>
      </w:r>
      <w:r>
        <w:rPr>
          <w:b/>
          <w:bCs/>
          <w:i w:val="false"/>
          <w:iCs w:val="false"/>
          <w:sz w:val="22"/>
          <w:szCs w:val="22"/>
        </w:rPr>
        <w:t xml:space="preserve">164 pozos distintos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a diferencia del caso anterior, sí se trata como dato faltante genuino (el campo nunca se cargó para esos pozos).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Producción (`prod_pet`, `prod_gas`):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distribución fuertemente sesgada a la derecha, comportamiento esperado en datos de producción de hidrocarburos (muchos pozos de baja producción, pocos de alta). A tener en cuenta para aplicar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log1p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en el feature engineering.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Producción negativa: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las 3 filas confirmadas tienen magnitudes chicas (-12, -7, -0.001), consistentes con correcciones/rectificaciones cargadas con signo.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Serie temporal (datos crudos):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curva de crecimiento exponencial 2006-2025 esperable del boom de Vaca Muerta, pero con una </w:t>
      </w:r>
      <w:r>
        <w:rPr>
          <w:b/>
          <w:bCs/>
          <w:i w:val="false"/>
          <w:iCs w:val="false"/>
          <w:sz w:val="22"/>
          <w:szCs w:val="22"/>
        </w:rPr>
        <w:t xml:space="preserve">caída artificial en 2026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el dataset todavía no tiene los 12 meses cargados para ese año (no es una caída real de producción).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7. </w:t>
      </w:r>
      <w:r>
        <w:rPr>
          <w:rFonts w:ascii="Consolas" w:cs="Consolas" w:eastAsia="Consolas" w:hAnsi="Consolas"/>
          <w:b/>
          <w:bCs/>
          <w:color w:val="1F3864"/>
          <w:sz w:val="30"/>
          <w:szCs w:val="30"/>
        </w:rPr>
        <w:t xml:space="preserve">src/preprocessor.py</w:t>
      </w:r>
      <w:r>
        <w:rPr>
          <w:b/>
          <w:bCs/>
          <w:i w:val="false"/>
          <w:iCs w:val="false"/>
          <w:color w:val="1F3864"/>
          <w:sz w:val="30"/>
          <w:szCs w:val="30"/>
        </w:rPr>
        <w:t xml:space="preserve"> — reglas de limpieza implementadas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Módulo con responsabilidad de transformación (a diferencia de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data_loader.py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que solo lee y valida). Cada función recibe un DataFrame y devuelve uno nuevo (sin modificar in-place), permitiendo encadenarlas en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pipeline_preprocesamiento()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 aplicada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descartar_columnas_vacias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Elimina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vida_util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observaciones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(&gt;90% nulos)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imputar_categoricas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Imputa con la moda: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tipoextraccion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tipoestado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tipopozo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clasificacion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subclasificacion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sub_tipo_recurso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(nulos &lt;0.25%)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corregir_profundidad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Valores fuera del rango plausible (100–10.000) se tratan como faltantes y se imputan con la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mediana por formación geológica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(no mediana global, porque la profundidad varía según formación). Esta regla genérica resuelve tanto el caso del pozo 156804 como los 164 pozos con profundidad = 0, sin necesidad de excepciones manuales por ID.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corregir_produccion_negativa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Clipea a 0 los valores negativos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prod_pet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prod_gas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marcar_anio_incompleto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Agrega columna booleana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anio_completo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para poder excluir 2026 de análisis de tendencia anual, sin perder esas filas para el modelado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Verificación de resultados (antes / después)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Después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Shape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421.046 × 40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421.046 × 39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Nulos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profundidad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122 casos &gt;10.000 + 5.738 en 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prod_pet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negativa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prod_gas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negativa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Filas marcadas año incompleto (2026)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34.386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Verificación visual (sección 8 del notebook)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El histograma de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profundidad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post-limpieza muestra una distribución realista concentrada entre 1.500 y 7.000, con pico en ~3.000 — sin rastro del valor erróneo de 378.939.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La serie temporal recalculada </w:t>
      </w:r>
      <w:r>
        <w:rPr>
          <w:b/>
          <w:bCs/>
          <w:i w:val="false"/>
          <w:iCs w:val="false"/>
          <w:sz w:val="22"/>
          <w:szCs w:val="22"/>
        </w:rPr>
        <w:t xml:space="preserve">excluyendo el año incompleto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muestra la curva de crecimiento limpia 2006-2025, sin la caída artificial de 2026.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 esto, la Pre-Entrega 2 (EDA + limpieza) queda </w:t>
      </w:r>
      <w:r>
        <w:rPr>
          <w:b/>
          <w:bCs/>
          <w:i w:val="false"/>
          <w:iCs w:val="false"/>
          <w:sz w:val="22"/>
          <w:szCs w:val="22"/>
        </w:rPr>
        <w:t xml:space="preserve">cerrada y verificada tanto numérica como visualmente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8. Cambio de estilo de código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partir de esta etapa, todo el código del proyecto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data_loader.py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preprocessor.py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los notebooks) se reescribió en un </w:t>
      </w:r>
      <w:r>
        <w:rPr>
          <w:b/>
          <w:bCs/>
          <w:i w:val="false"/>
          <w:iCs w:val="false"/>
          <w:sz w:val="22"/>
          <w:szCs w:val="22"/>
        </w:rPr>
        <w:t xml:space="preserve">estilo más simple y lineal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funciones únicas con pasos comentados en vez de múltiples funciones encadenadas con validaciones extensas. Se prioriza la legibilidad y la capacidad de explicar el código en la defensa oral, por sobre patrones más avanzados (type hints, manejo de excepciones, rutas independientes del directorio de ejecución). El comportamiento y los resultados numéricos son equivalentes a la versión anterior.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9. </w:t>
      </w:r>
      <w:r>
        <w:rPr>
          <w:rFonts w:ascii="Consolas" w:cs="Consolas" w:eastAsia="Consolas" w:hAnsi="Consolas"/>
          <w:b/>
          <w:bCs/>
          <w:color w:val="1F3864"/>
          <w:sz w:val="30"/>
          <w:szCs w:val="30"/>
        </w:rPr>
        <w:t xml:space="preserve">notebooks/02_feature_engineering.ipynb</w:t>
      </w:r>
      <w:r>
        <w:rPr>
          <w:b/>
          <w:bCs/>
          <w:i w:val="false"/>
          <w:iCs w:val="false"/>
          <w:color w:val="1F3864"/>
          <w:sz w:val="30"/>
          <w:szCs w:val="30"/>
        </w:rPr>
        <w:t xml:space="preserve"> — Variables derivadas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crearon variables nuevas sobre el dataset limpio, pensadas para darle al modelo información sobre el comportamiento de cada pozo a lo largo del tiempo: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antiguedad_meses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Número de mes de producción del pozo (1 = primer mes registrado)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prod_pet_mes_anterior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prod_gas_mes_anterior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Producción del mes anterior (lag), por pozo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declinacion_pet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declinacion_gas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% de variación respecto al mes anterior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ratio_gas_petroleo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Relación gas/petróleo del mes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prod_pet_acumulada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prod_gas_acumulada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Producción acumulada del pozo hasta ese mes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formacion_cod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cuenca_cod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Codificación numérica de las variables categóricas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formacion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cuenca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Verificación visual: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se graficó la curva de producción mensual y acumulada del pozo con más historia cargada, confirmando que la producción acumulada es siempre creciente (como corresponde a una suma acumulada) y que la curva mensual muestra el patrón esperable de un pozo no convencional. Se detectó un pico de producción puntual en ese pozo (posible reestimulación/refractura, o un pozo pre-boom de 2006 con comportamiento distinto al shale típico) — queda anotado como punto de atención para el modelado.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resultado se guardó en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data/processed/produccion_con_features.csv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para uso directo del notebook de modelado.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10. </w:t>
      </w:r>
      <w:r>
        <w:rPr>
          <w:rFonts w:ascii="Consolas" w:cs="Consolas" w:eastAsia="Consolas" w:hAnsi="Consolas"/>
          <w:b/>
          <w:bCs/>
          <w:color w:val="1F3864"/>
          <w:sz w:val="30"/>
          <w:szCs w:val="30"/>
        </w:rPr>
        <w:t xml:space="preserve">notebooks/03_modelado_supervisado.ipynb</w:t>
      </w:r>
      <w:r>
        <w:rPr>
          <w:b/>
          <w:bCs/>
          <w:i w:val="false"/>
          <w:iCs w:val="false"/>
          <w:color w:val="1F3864"/>
          <w:sz w:val="30"/>
          <w:szCs w:val="30"/>
        </w:rPr>
        <w:t xml:space="preserve"> — Regresión (predicción de </w:t>
      </w:r>
      <w:r>
        <w:rPr>
          <w:rFonts w:ascii="Consolas" w:cs="Consolas" w:eastAsia="Consolas" w:hAnsi="Consolas"/>
          <w:b/>
          <w:bCs/>
          <w:color w:val="1F3864"/>
          <w:sz w:val="30"/>
          <w:szCs w:val="30"/>
        </w:rPr>
        <w:t xml:space="preserve">prod_pet</w:t>
      </w:r>
      <w:r>
        <w:rPr>
          <w:b/>
          <w:bCs/>
          <w:i w:val="false"/>
          <w:iCs w:val="false"/>
          <w:color w:val="1F3864"/>
          <w:sz w:val="30"/>
          <w:szCs w:val="30"/>
        </w:rPr>
        <w:t xml:space="preserve">)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10.1 Diseño del experimento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Variable objetivo: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(producción mensual de petróleo por pozo).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Modelo: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XGBoost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XGBRegressor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parámetros base sin optimizar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n_estimators=200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max_depth=5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learning_rate=0.1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Separación train/test respetando el tiempo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(no aleatoria): entrenamiento con años anteriores a 2024, prueba con 2024-2025 — simula la situación real de predecir producción futura, no interpolar el pasado.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Se excluyeron del entrenamiento: el primer mes de cada pozo (sin "mes anterior" disponible) y el año 2026 (incompleto).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10.2 Iteración 1 — Modelo base (7 features)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Features: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antiguedad_meses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prod_pet_mes_anterior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prod_gas_mes_anterior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ratio_gas_petroleo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profundidad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formacion_cod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cuenca_cod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Resultado: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MAE 195.11 — RMSE 520.31 — R² 0.853. El gráfico de real vs. predicho mostró buen ajuste en el rango bajo-medio de producción, pero </w:t>
      </w:r>
      <w:r>
        <w:rPr>
          <w:b/>
          <w:bCs/>
          <w:i w:val="false"/>
          <w:iCs w:val="false"/>
          <w:sz w:val="22"/>
          <w:szCs w:val="22"/>
        </w:rPr>
        <w:t xml:space="preserve">subestimación sistemática de los pozos con picos de producción muy altos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(&gt;10.000).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prod_pet_mes_anterior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concentró más del 90% de la importancia del modelo.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10.3 Iteración 2 — Fuga de datos detectada y descartada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intentó agregar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(variación % respecto al mes </w:t>
      </w:r>
      <w:r>
        <w:rPr>
          <w:b/>
          <w:bCs/>
          <w:i w:val="false"/>
          <w:iCs w:val="false"/>
          <w:sz w:val="22"/>
          <w:szCs w:val="22"/>
        </w:rPr>
        <w:t xml:space="preserve">actual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 como feature, buscando mejorar la detección de picos. El R² subió a </w:t>
      </w:r>
      <w:r>
        <w:rPr>
          <w:b/>
          <w:bCs/>
          <w:i w:val="false"/>
          <w:iCs w:val="false"/>
          <w:sz w:val="22"/>
          <w:szCs w:val="22"/>
        </w:rPr>
        <w:t xml:space="preserve">0.978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un salto sospechosamente alto.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Diagnóstico: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se calcula como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(prod_pet - prod_pet_mes_anterior) / prod_pet_mes_anterior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— la variable objetivo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 queda embebida en la fórmula de una de las features. Combinando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prod_pet_mes_anterior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el valor de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se puede despejar algebraicamente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 = prod_pet_mes_anterior × (1 + declinacion_pet)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por lo que el modelo no estaba prediciendo: estaba recibiendo la respuesta disfrazada. Se confirmó el diagnóstico observando que, pese al R² casi perfecto, el error en los picos altos (&gt;10.000) seguía siendo grande (2.580 de error promedio) — si la mejora fuera real, ese error también debería haber bajado.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Esta versión fue descartada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no es utilizable en producción, ya que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no puede calcularse en el momento de predecir (requiere conocer de antemano el dato que se busca estimar).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10.4 Iteración 3 — Modelo corregido (8 features)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reemplazó la variable con fuga de datos por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(declinación calculada con el mes anterior al anterior, es decir, información ya conocida al momento de predecir — sin fuga).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Resultado: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MAE 163.33 — RMSE 445.42 — R² 0.885. Mejora </w:t>
      </w:r>
      <w:r>
        <w:rPr>
          <w:b/>
          <w:bCs/>
          <w:i w:val="false"/>
          <w:iCs w:val="false"/>
          <w:sz w:val="22"/>
          <w:szCs w:val="22"/>
        </w:rPr>
        <w:t xml:space="preserve">real y modesta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respecto al modelo base (R² +0.032), consistente con una variable que aporta señal genuina sin “ver” el futuro.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aparece como tercera variable en importancia (por detrás de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prod_pet_mes_anterior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antiguedad_meses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sin dominar el modelo como ocurría con la versión con fuga. </w:t>
      </w:r>
      <w:r>
        <w:rPr>
          <w:b/>
          <w:bCs/>
          <w:i w:val="false"/>
          <w:iCs w:val="false"/>
          <w:sz w:val="22"/>
          <w:szCs w:val="22"/>
        </w:rPr>
        <w:t xml:space="preserve">El problema de subestimación de picos altos (&gt;10.000) persistía.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10.5 Iteración 4 — Máximo histórico del pozo (descartada)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 agregó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prod_pet_maxima_anterior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(máximo histórico de producción del pozo, calculado solo con datos hasta el mes anterior — sin fuga), buscando que el modelo reconociera qué pozos tienen antecedentes de picos altos.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Resultado: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MAE 165.63 — RMSE 444.47 — R² 0.885. Prácticamente idéntico al modelo anterior; el gráfico de importancia de variables mostró que el modelo casi no utilizó esta variable. </w:t>
      </w:r>
      <w:r>
        <w:rPr>
          <w:b/>
          <w:bCs/>
          <w:i w:val="false"/>
          <w:iCs w:val="false"/>
          <w:sz w:val="22"/>
          <w:szCs w:val="22"/>
        </w:rPr>
        <w:t xml:space="preserve">Descartada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por no aportar mejora real, priorizando un modelo más simple.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10.6 Iteración 5 — Log-transform del objetivo (descartada)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 vez de agregar otra variable, se probó entrenar el modelo sobre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log(1 + prod_pet)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en lugar del valor directo — una técnica estándar para atenuar el efecto de distribuciones muy sesgadas sobre el error cuadrático de entrenamiento.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Resultado: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MAE 163.09 — RMSE 501.67 — R² 0.854. El RMSE empeoró notablemente y el error en picos altos subió a 6.028 (peor que las versiones anteriores). El gráfico de real vs. predicho reveló el motivo: al revertir el logaritmo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expm1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pequeños errores en escala logarítmica se amplifican exponencialmente, generando </w:t>
      </w:r>
      <w:r>
        <w:rPr>
          <w:b/>
          <w:bCs/>
          <w:i w:val="false"/>
          <w:iCs w:val="false"/>
          <w:sz w:val="22"/>
          <w:szCs w:val="22"/>
        </w:rPr>
        <w:t xml:space="preserve">sobreestimaciones extremas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(predicciones de hasta 35.000 para pozos que producían realmente 7.000-10.000). </w:t>
      </w:r>
      <w:r>
        <w:rPr>
          <w:b/>
          <w:bCs/>
          <w:i w:val="false"/>
          <w:iCs w:val="false"/>
          <w:sz w:val="22"/>
          <w:szCs w:val="22"/>
        </w:rPr>
        <w:t xml:space="preserve">Descartada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por introducir un problema nuevo y más grave que el que buscaba resolver.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10.7 Iteración 6 — Comparación XGBoost vs. LightGBM (consigna original)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Pre-Entrega 1 especificaba entrenar y </w:t>
      </w:r>
      <w:r>
        <w:rPr>
          <w:b/>
          <w:bCs/>
          <w:i w:val="false"/>
          <w:iCs w:val="false"/>
          <w:sz w:val="22"/>
          <w:szCs w:val="22"/>
        </w:rPr>
        <w:t xml:space="preserve">comparar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modelos de regresión (XGBoost / LightGBM), no quedarse con uno solo. Se entrenó LightGBM con las mismas 8 features, el mismo split temporal (train &lt;2024, test 2024-2025) y parámetros equivalentes, para una comparación justa.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XGBoost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LightGBM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163.33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163.86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RMSE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445.42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439.34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R²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0.885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0.888</w:t>
            </w:r>
          </w:p>
        </w:tc>
      </w:tr>
      <w:tr>
        <w:trPr>
          <w:tblHeader w:val="false"/>
        </w:trP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 en picos altos (&gt;10.000)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5.153.7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4.998.2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Resultado: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empate técnico, con una ventaja marginal pero consistente de LightGBM en 3 de las 4 métricas. Se adopta </w:t>
      </w:r>
      <w:r>
        <w:rPr>
          <w:b/>
          <w:bCs/>
          <w:i w:val="false"/>
          <w:iCs w:val="false"/>
          <w:sz w:val="22"/>
          <w:szCs w:val="22"/>
        </w:rPr>
        <w:t xml:space="preserve">LightGBM como modelo principal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models/modelo_produccion_pet.joblib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conservando ambos modelos por separado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..._xgboost.joblib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..._lightgbm.joblib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 para trazabilidad.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Nota metodológica sobre el gráfico de importancia de variables: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los gráficos de importancia de XGBoost (escala 0-1, basada en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gain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 y LightGBM (escala 0-1000, basada en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split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por defecto) usan métricas distintas y no son directamente comparables entre sí — la diferencia de escala no implica que un modelo haya "entendido mejor" los datos que el otro. Ambos coinciden en que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prod_pet_mes_anterior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es la variable dominante.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10.8 Modelo final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Tras 5 iteraciones sobre el modelo base, la combinación ganadora es </w:t>
      </w:r>
      <w:r>
        <w:rPr>
          <w:b/>
          <w:bCs/>
          <w:i w:val="false"/>
          <w:iCs w:val="false"/>
          <w:sz w:val="22"/>
          <w:szCs w:val="22"/>
        </w:rPr>
        <w:t xml:space="preserve">LightGBM con las 8 features de la Iteración 3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incluida, sin log-transform ni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prod_pet_maxima_anterior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 — la mejor combinación de métricas entre todas las versiones probadas.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10.9 Tabla comparativa completa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>
        <w:trPr>
          <w:tblHeader/>
        </w:trPr>
        <w:tc>
          <w:tcPr>
            <w:tcW w:type="dxa" w:w="133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33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(7 features)</w:t>
            </w:r>
          </w:p>
        </w:tc>
        <w:tc>
          <w:tcPr>
            <w:tcW w:type="dxa" w:w="133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 fuga (descartado)</w:t>
            </w:r>
          </w:p>
        </w:tc>
        <w:tc>
          <w:tcPr>
            <w:tcW w:type="dxa" w:w="133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 máxima histórica (descartado)</w:t>
            </w:r>
          </w:p>
        </w:tc>
        <w:tc>
          <w:tcPr>
            <w:tcW w:type="dxa" w:w="133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Log-transform (descartado)</w:t>
            </w:r>
          </w:p>
        </w:tc>
        <w:tc>
          <w:tcPr>
            <w:tcW w:type="dxa" w:w="133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XGBoost (8 features)</w:t>
            </w:r>
          </w:p>
        </w:tc>
        <w:tc>
          <w:tcPr>
            <w:tcW w:type="dxa" w:w="133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LightGBM FINAL (8 features)</w:t>
            </w:r>
          </w:p>
        </w:tc>
      </w:tr>
      <w:tr>
        <w:trPr>
          <w:tblHeader w:val="false"/>
        </w:trPr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MAE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195.11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38.86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165.63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163.09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163.33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163.86</w:t>
            </w:r>
          </w:p>
        </w:tc>
      </w:tr>
      <w:tr>
        <w:trPr>
          <w:tblHeader w:val="false"/>
        </w:trPr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RMSE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520.31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204.07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444.47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501.67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445.42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439.34</w:t>
            </w:r>
          </w:p>
        </w:tc>
      </w:tr>
      <w:tr>
        <w:trPr>
          <w:tblHeader w:val="false"/>
        </w:trPr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R²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0.853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0.978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0.885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0.854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0.885</w:t>
            </w:r>
          </w:p>
        </w:tc>
        <w:tc>
          <w:tcPr>
            <w:tcW w:type="dxa" w:w="133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0.888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10.10 Limitación conocida (aceptada)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 todas las versiones válidas (XGBoost y LightGBM por igual), el modelo </w:t>
      </w:r>
      <w:r>
        <w:rPr>
          <w:b/>
          <w:bCs/>
          <w:i w:val="false"/>
          <w:iCs w:val="false"/>
          <w:sz w:val="22"/>
          <w:szCs w:val="22"/>
        </w:rPr>
        <w:t xml:space="preserve">subestima los pozos con picos de producción muy altos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(posibles eventos de reestimulación/refractura). Se probaron tres enfoques distintos para resolverlo (una variable nueva, un cambio de objetivo de entrenamiento, y un segundo algoritmo) y ninguno lo resolvió de fondo — uno incluso lo empeoró de forma más grave. Esto sugiere que el problema no es de ingeniería sobre los datos disponibles ni de elección de algoritmo, sino de </w:t>
      </w:r>
      <w:r>
        <w:rPr>
          <w:b/>
          <w:bCs/>
          <w:i w:val="false"/>
          <w:iCs w:val="false"/>
          <w:sz w:val="22"/>
          <w:szCs w:val="22"/>
        </w:rPr>
        <w:t xml:space="preserve">ausencia de una variable que el dataset no incluye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(por ejemplo, si se programó una intervención en el pozo). Se documenta como limitación conocida y se avanza con evidencia en mano, en vez de continuar iterando sin garantía de mejora.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modelo final (LightGBM) se guardó en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models/modelo_produccion_pet.joblib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bottom w:val="single" w:color="1F3864" w:sz="6" w:space="4"/>
        </w:pBdr>
        <w:spacing w:after="200" w:before="10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11. </w:t>
      </w:r>
      <w:r>
        <w:rPr>
          <w:rFonts w:ascii="Consolas" w:cs="Consolas" w:eastAsia="Consolas" w:hAnsi="Consolas"/>
          <w:b/>
          <w:bCs/>
          <w:color w:val="1F3864"/>
          <w:sz w:val="30"/>
          <w:szCs w:val="30"/>
        </w:rPr>
        <w:t xml:space="preserve">notebooks/04_modelado_no_supervisado.ipynb</w:t>
      </w:r>
      <w:r>
        <w:rPr>
          <w:b/>
          <w:bCs/>
          <w:i w:val="false"/>
          <w:iCs w:val="false"/>
          <w:color w:val="1F3864"/>
          <w:sz w:val="30"/>
          <w:szCs w:val="30"/>
        </w:rPr>
        <w:t xml:space="preserve"> — Clustering de pozos (K-Means)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11.1 Diseño del experimento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Objetivo: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agrupar los pozos según su comportamiento de producción y revisar si los pozos con picos muy altos (la limitación del modelo supervisado) forman un grupo propio.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Unidad de análisis: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un pozo = una fila, resumido en 4 variables: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pico_prod_pet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(máximo histórico),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declinacion_promedio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(declinación mensual típica, calculada con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declinacion_pet_anterior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antiguedad_total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(meses de historia) y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ratio_gas_pet_promedio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(relación gas/petróleo típica).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Algoritmo: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K-Means con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init="k-means++"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n_init=10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random_state=42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sobre variables escaladas con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StandardScaler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Alternativa descartada: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ajustar curvas de declinación tipo Arps pozo por pozo. Es más fiel físicamente, pero costoso de ajustar y de explicar en el tiempo disponible; queda como mejora futura.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11.2 Primera versión: resultado engañoso (descartado)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primera corrida resumió cada pozo con el </w:t>
      </w:r>
      <w:r>
        <w:rPr>
          <w:b/>
          <w:bCs/>
          <w:i w:val="false"/>
          <w:iCs w:val="false"/>
          <w:sz w:val="22"/>
          <w:szCs w:val="22"/>
        </w:rPr>
        <w:t xml:space="preserve">promedio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de la declinación y del ratio gas/petróleo (4.343 pozos tras el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dropna()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). Con k = 4, </w:t>
      </w:r>
      <w:r>
        <w:rPr>
          <w:b/>
          <w:bCs/>
          <w:i w:val="false"/>
          <w:iCs w:val="false"/>
          <w:sz w:val="22"/>
          <w:szCs w:val="22"/>
        </w:rPr>
        <w:t xml:space="preserve">dos de los cuatro clusters tenían un solo pozo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el pozo 162450 (pico de 0,005 y ratio gas/petróleo de 1.339.944, por dividir por una producción casi nula) y el pozo 137343 (declinación promedio de 839.563). El silhouette de 0,542 estaba inflado por esos dos puntos aislados y el PCA mostraba los 4.341 pozos restantes aplastados en una línea.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Diagnóstico: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la declinación y el ratio son cocientes que se disparan cuando el denominador está cerca de cero, y unos pocos valores extremos distorsionaban el promedio y el escalado. En lugar de cerrar el notebook con un k que "daba bien" en las métricas, se corrigió el origen del problema.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11.3 Correcciones aplicadas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Corrección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 pozos con pico menor a 1 (casi sin petróleo) generan ratios absurdos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filtran los pozos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pico_prod_pet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menor a 1 (4.343 →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4.295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pozos)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promedio es muy sensible a valores extremos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usa la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mediana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declinacion_promedio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ratio_gas_pet_promedio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 declinación no tiene techo (piso natural en -1: la producción cae a cero)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recorta entre -1 y el percentil 99 (≈ 4,46)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pico_prod_pet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y el ratio tienen cola muy larga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aplica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np.log1p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 ambas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 variables están en escalas distintas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0392B"/>
                <w:sz w:val="20"/>
                <w:szCs w:val="20"/>
                <w:shd w:fill="F0F0F0" w:val="clear"/>
              </w:rPr>
              <w:t xml:space="preserve">StandardScaler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(media 0, desvío 1)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Cobertura del clustering: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el dataset tiene 5.089 pozos únicos y el clustering usa 4.295. Quedaron afuera 508 pozos que nunca produjeron petróleo (gasíferos puros, su ratio gas/petróleo no está definido) y pozos con muy poca historia o producción casi nula. Es una decisión de diseño: se agrupan pozos con producción real de petróleo.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11.4 Elección de k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3116"/>
        <w:gridCol w:w="3117"/>
        <w:gridCol w:w="3117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Inercia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Silhouette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10.340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0,440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6.826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0,486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4.417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0,473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3.791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0,456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3.245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0,457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2.898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0,441</w:t>
            </w:r>
          </w:p>
        </w:tc>
      </w:tr>
      <w:tr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2.617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0,450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codo se ubica en </w:t>
      </w:r>
      <w:r>
        <w:rPr>
          <w:b/>
          <w:bCs/>
          <w:i w:val="false"/>
          <w:iCs w:val="false"/>
          <w:sz w:val="22"/>
          <w:szCs w:val="22"/>
        </w:rPr>
        <w:t xml:space="preserve">k = 4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(la inercia cae fuerte de 3 a 4 y después se aplana). El silhouette es máximo en k = 3 (0,486), pero la diferencia con k = 4 (0,473) es chica. Se eligió </w:t>
      </w:r>
      <w:r>
        <w:rPr>
          <w:b/>
          <w:bCs/>
          <w:i w:val="false"/>
          <w:iCs w:val="false"/>
          <w:sz w:val="22"/>
          <w:szCs w:val="22"/>
        </w:rPr>
        <w:t xml:space="preserve">k = 4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porque separa grupos que se pueden explicar físicamente.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11.5 Perfil de los clusters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Valores típicos (mediana) calculados con las variables originales, sin logaritmo ni recorte:</w:t>
      </w:r>
    </w:p>
    <w:tbl>
      <w:tblPr>
        <w:tblW w:type="dxa" w:w="9350"/>
        <w:tblBorders>
          <w:top w:val="single" w:color="B0B0B0" w:sz="2"/>
          <w:left w:val="single" w:color="B0B0B0" w:sz="2"/>
          <w:bottom w:val="single" w:color="B0B0B0" w:sz="2"/>
          <w:right w:val="single" w:color="B0B0B0" w:sz="2"/>
          <w:insideH w:val="single" w:color="D9D9D9" w:sz="2"/>
          <w:insideV w:val="single" w:color="D9D9D9" w:sz="2"/>
        </w:tblBorders>
      </w:tblPr>
      <w:tblGrid>
        <w:gridCol w:w="900"/>
        <w:gridCol w:w="3250"/>
        <w:gridCol w:w="900"/>
        <w:gridCol w:w="1400"/>
        <w:gridCol w:w="1700"/>
        <w:gridCol w:w="12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Interpretación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Pozos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Pico prod_pet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Antigüedad (meses)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 gas/pet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Modernos de alta producción de petróleo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(tipo Vaca Muerta)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2.009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5.273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0,14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Viejos de producción media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1.123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809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0,98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Viejos con mucho gas y casi nada de petróleo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1.088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55,0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Recién puestos en producción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(3 a 5 meses de historia, ya pasado su pico inicial)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6.053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0,20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declinación típica es casi igual en los tres clusters grandes (entre -0,02 y -0,04), así que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declinacion_promedio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aporta poco para separarlos; los diferencian el pico, la antigüedad y el ratio. El cluster 2 se distingue por esa variable (mediana de 6,76) porque, con tan poca historia, su "declinación" es en realidad el crecimiento de arranque, no una curva de declinación.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11.6 Validación visual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PCA en 2D: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los dos componentes explican ≈ 79% de la información (55% + 24%). Los clusters 0, 1 y 3 forman un </w:t>
      </w:r>
      <w:r>
        <w:rPr>
          <w:b/>
          <w:bCs/>
          <w:i w:val="false"/>
          <w:iCs w:val="false"/>
          <w:sz w:val="22"/>
          <w:szCs w:val="22"/>
        </w:rPr>
        <w:t xml:space="preserve">continuo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(de pozos chicos y gasíferos a pozos grandes y modernos) que K-Means corta en tres tramos, con solapamiento en los bordes. El cluster 2 sí se separa claramente. Es decir, el clustering segmenta una gradación de pozos, no descubre grupos totalmente aislados.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/>
          <w:bCs/>
          <w:i w:val="false"/>
          <w:iCs w:val="false"/>
          <w:sz w:val="22"/>
          <w:szCs w:val="22"/>
        </w:rPr>
        <w:t xml:space="preserve">Curvas representativas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(pozo más cercano al centro de cada cluster: 159285, 153344, 164529 y 167147): tienen sentido físico. El cluster 0 es una línea chata cerca de 50; el 1 muestra un pico chico y declinación lenta durante unos 140 meses; el 3 llega a ~4.400 y baja de forma sostenida; el 2 sube hasta ~6.400 en el mes 3 y empieza a bajar.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11.7 Cruce con la limitación del modelo supervisado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 los </w:t>
      </w:r>
      <w:r>
        <w:rPr>
          <w:b/>
          <w:bCs/>
          <w:i w:val="false"/>
          <w:iCs w:val="false"/>
          <w:sz w:val="22"/>
          <w:szCs w:val="22"/>
        </w:rPr>
        <w:t xml:space="preserve">94 pozos con pico mayor a 10.000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88 caen en el cluster de pozos modernos de alta producción y 6 en el de pozos recién puestos en producción. Es coherente con que son los pozos más productivos, pero no revela un subgrupo distinto: el cluster 3 es grande y la información que aporta es limitada. El clustering </w:t>
      </w:r>
      <w:r>
        <w:rPr>
          <w:b/>
          <w:bCs/>
          <w:i w:val="false"/>
          <w:iCs w:val="false"/>
          <w:sz w:val="22"/>
          <w:szCs w:val="22"/>
        </w:rPr>
        <w:t xml:space="preserve">no confirma ni descarta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la hipótesis de reestimulación como causa de la subestimación del modelo.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11.8 Limitaciones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El silhouette (≈ 0,47) indica una estructura moderada: hay grupos reales, pero se solapan en parte.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declinacion_promedio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casi no separa los clusters grandes. Una mejora futura sería ajustar curvas de Arps por pozo.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Los pozos gasíferos puros y los de muy poca historia quedan fuera del análisis.</w:t>
      </w:r>
    </w:p>
    <w:p>
      <w:pPr>
        <w:pStyle w:val="Heading2"/>
        <w:spacing w:after="140" w:before="280"/>
      </w:pPr>
      <w:r>
        <w:rPr>
          <w:b/>
          <w:bCs/>
          <w:i w:val="false"/>
          <w:iCs w:val="false"/>
          <w:color w:val="2E5395"/>
          <w:sz w:val="24"/>
          <w:szCs w:val="24"/>
        </w:rPr>
        <w:t xml:space="preserve">11.9 Archivos generados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data/processed/pozos_con_cluster.csv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pozos con su cluster y valores originales.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models/modelo_clustering_kmeans.joblib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models/scaler_clustering.joblib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modelo y scaler entrenados.</w:t>
      </w:r>
    </w:p>
    <w:p>
      <w:pPr>
        <w:spacing w:after="100"/>
        <w:ind w:left="300"/>
      </w:pPr>
      <w:r>
        <w:rPr>
          <w:b/>
          <w:bCs/>
          <w:color w:val="1F3864"/>
          <w:sz w:val="22"/>
          <w:szCs w:val="22"/>
        </w:rPr>
        <w:t xml:space="preserve">•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models/tope_declinacion_clustering.joblib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: tope del recorte de la declinación, necesario para asignar un cluster a un pozo nuevo (recorte, logaritmo y escalado, en ese orden).</w:t>
      </w:r>
    </w:p>
    <w:p>
      <w:pPr>
        <w:spacing w:after="160"/>
      </w:pPr>
    </w:p>
    <w:p>
      <w:pPr>
        <w:pStyle w:val="Heading1"/>
        <w:pBdr>
          <w:bottom w:val="single" w:color="9DB3D6" w:sz="4" w:space="4"/>
        </w:pBdr>
        <w:spacing w:after="180" w:before="360"/>
      </w:pPr>
      <w:r>
        <w:rPr>
          <w:b/>
          <w:bCs/>
          <w:i w:val="false"/>
          <w:iCs w:val="false"/>
          <w:color w:val="1F3864"/>
          <w:sz w:val="30"/>
          <w:szCs w:val="30"/>
        </w:rPr>
        <w:t xml:space="preserve">12. Próximos pasos</w:t>
      </w:r>
    </w:p>
    <w:p>
      <w:pPr>
        <w:spacing w:after="120"/>
        <w:ind w:left="200"/>
      </w:pPr>
      <w:r>
        <w:rPr>
          <w:b/>
          <w:bCs/>
          <w:color w:val="1F3864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Explicabilidad: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aplicar SHAP sobre el modelo LightGBM final.</w:t>
      </w:r>
    </w:p>
    <w:p>
      <w:pPr>
        <w:spacing w:after="120"/>
        <w:ind w:left="200"/>
      </w:pPr>
      <w:r>
        <w:rPr>
          <w:b/>
          <w:bCs/>
          <w:color w:val="1F3864"/>
          <w:sz w:val="22"/>
          <w:szCs w:val="22"/>
        </w:rPr>
        <w:t xml:space="preserve">2. </w:t>
      </w:r>
      <w:r>
        <w:rPr>
          <w:b/>
          <w:bCs/>
          <w:i w:val="false"/>
          <w:iCs w:val="false"/>
          <w:sz w:val="22"/>
          <w:szCs w:val="22"/>
        </w:rPr>
        <w:t xml:space="preserve">Optimización (opcional):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evaluar una ronda de Optuna sobre el modelo de regresión, si el cronograma lo permite.</w:t>
      </w:r>
    </w:p>
    <w:p>
      <w:pPr>
        <w:spacing w:after="120"/>
        <w:ind w:left="200"/>
      </w:pPr>
      <w:r>
        <w:rPr>
          <w:b/>
          <w:bCs/>
          <w:color w:val="1F3864"/>
          <w:sz w:val="22"/>
          <w:szCs w:val="22"/>
        </w:rPr>
        <w:t xml:space="preserve">3. </w:t>
      </w:r>
      <w:r>
        <w:rPr>
          <w:b/>
          <w:bCs/>
          <w:i w:val="false"/>
          <w:iCs w:val="false"/>
          <w:sz w:val="22"/>
          <w:szCs w:val="22"/>
        </w:rPr>
        <w:t xml:space="preserve">Entrega Final: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src/train.py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src/predict.py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API en FastAPI (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api/app.py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api/schemas.py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), Dockerfile y documentación completa en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README.md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/>
        <w:ind w:left="200"/>
      </w:pPr>
      <w:r>
        <w:rPr>
          <w:b/>
          <w:bCs/>
          <w:color w:val="1F3864"/>
          <w:sz w:val="22"/>
          <w:szCs w:val="22"/>
        </w:rPr>
        <w:t xml:space="preserve">4. </w:t>
      </w:r>
      <w:r>
        <w:rPr>
          <w:b/>
          <w:bCs/>
          <w:i w:val="false"/>
          <w:iCs w:val="false"/>
          <w:sz w:val="22"/>
          <w:szCs w:val="22"/>
        </w:rPr>
        <w:t xml:space="preserve">Repositorio: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confirmar que todo esté pusheado y mergeado a </w:t>
      </w:r>
      <w:r>
        <w:rPr>
          <w:rFonts w:ascii="Consolas" w:cs="Consolas" w:eastAsia="Consolas" w:hAnsi="Consolas"/>
          <w:b w:val="false"/>
          <w:bCs w:val="false"/>
          <w:color w:val="C0392B"/>
          <w:sz w:val="20"/>
          <w:szCs w:val="20"/>
          <w:shd w:fill="F0F0F0" w:val="clear"/>
        </w:rPr>
        <w:t xml:space="preserve">main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mediante Pull Request.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Página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Proyecto Final Data Science — YPF / Vaca Muerta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2026-09-30T22:20:06.939Z</dcterms:created>
  <dcterms:modified xsi:type="dcterms:W3CDTF">2026-09-30T22:20:06.940Z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